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73C8A">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p>
    <w:p w14:paraId="5A152004">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14:paraId="6DBA2D0D">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区商务局分项资金</w:t>
      </w:r>
      <w:r>
        <w:rPr>
          <w:rFonts w:hint="eastAsia" w:ascii="方正小标宋_GBK" w:hAnsi="宋体" w:eastAsia="方正小标宋_GBK"/>
          <w:sz w:val="44"/>
          <w:szCs w:val="44"/>
          <w:highlight w:val="none"/>
          <w:lang w:eastAsia="zh-CN"/>
        </w:rPr>
        <w:t>——</w:t>
      </w:r>
    </w:p>
    <w:p w14:paraId="53504699">
      <w:pPr>
        <w:pageBreakBefore w:val="0"/>
        <w:kinsoku/>
        <w:wordWrap/>
        <w:overflowPunct/>
        <w:topLinePunct w:val="0"/>
        <w:autoSpaceDE/>
        <w:autoSpaceDN/>
        <w:bidi w:val="0"/>
        <w:spacing w:line="560" w:lineRule="exact"/>
        <w:jc w:val="center"/>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_GBK"/>
          <w:color w:val="auto"/>
          <w:w w:val="95"/>
          <w:sz w:val="44"/>
          <w:szCs w:val="44"/>
          <w:lang w:val="en-US" w:eastAsia="zh-CN"/>
        </w:rPr>
        <w:t>鼓励商业企业（批发、零售、餐饮）做大做强</w:t>
      </w:r>
      <w:r>
        <w:rPr>
          <w:rFonts w:hint="eastAsia" w:ascii="方正小标宋简体" w:hAnsi="方正小标宋简体" w:eastAsia="方正小标宋简体" w:cs="方正小标宋_GBK"/>
          <w:sz w:val="44"/>
          <w:szCs w:val="44"/>
          <w:lang w:eastAsia="zh-CN"/>
        </w:rPr>
        <w:t>项目</w:t>
      </w:r>
      <w:r>
        <w:rPr>
          <w:rFonts w:hint="eastAsia" w:ascii="方正小标宋简体" w:hAnsi="方正小标宋简体" w:eastAsia="方正小标宋简体" w:cs="方正小标宋简体"/>
          <w:color w:val="000000"/>
          <w:sz w:val="44"/>
          <w:szCs w:val="44"/>
          <w:highlight w:val="none"/>
          <w:lang w:val="en-US" w:eastAsia="zh-CN"/>
        </w:rPr>
        <w:t>操作规程</w:t>
      </w:r>
      <w:bookmarkStart w:id="0" w:name="_GoBack"/>
      <w:bookmarkEnd w:id="0"/>
    </w:p>
    <w:p w14:paraId="6F85850E">
      <w:pPr>
        <w:pageBreakBefore w:val="0"/>
        <w:kinsoku/>
        <w:wordWrap/>
        <w:overflowPunct/>
        <w:topLinePunct w:val="0"/>
        <w:autoSpaceDE/>
        <w:autoSpaceDN/>
        <w:bidi w:val="0"/>
        <w:spacing w:line="560" w:lineRule="exact"/>
        <w:jc w:val="center"/>
        <w:rPr>
          <w:rFonts w:eastAsia="黑体"/>
          <w:color w:val="000000"/>
          <w:sz w:val="32"/>
          <w:szCs w:val="32"/>
        </w:rPr>
      </w:pPr>
    </w:p>
    <w:p w14:paraId="1AFBCC1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为推动经济实现质的有效提升和量的合理增长，根据《南山区促进产业高质量发展专项资金管理办法》等文件规定，制定本操作规程。</w:t>
      </w:r>
    </w:p>
    <w:p w14:paraId="4DAB23EE">
      <w:pPr>
        <w:pageBreakBefore w:val="0"/>
        <w:kinsoku/>
        <w:wordWrap/>
        <w:overflowPunct/>
        <w:topLinePunct w:val="0"/>
        <w:autoSpaceDE/>
        <w:autoSpaceDN/>
        <w:bidi w:val="0"/>
        <w:spacing w:line="560" w:lineRule="exact"/>
        <w:ind w:firstLine="640" w:firstLineChars="200"/>
        <w:outlineLvl w:val="0"/>
        <w:rPr>
          <w:rFonts w:hAnsi="仿宋" w:eastAsia="仿宋"/>
          <w:kern w:val="0"/>
          <w:sz w:val="32"/>
          <w:szCs w:val="32"/>
        </w:rPr>
      </w:pPr>
      <w:r>
        <w:rPr>
          <w:rFonts w:hint="eastAsia" w:hAnsi="黑体" w:eastAsia="黑体"/>
          <w:sz w:val="32"/>
          <w:szCs w:val="32"/>
        </w:rPr>
        <w:t>一、政策内容</w:t>
      </w:r>
    </w:p>
    <w:p w14:paraId="35EC88FE">
      <w:pPr>
        <w:pageBreakBefore w:val="0"/>
        <w:widowControl/>
        <w:kinsoku/>
        <w:wordWrap/>
        <w:overflowPunct/>
        <w:topLinePunct w:val="0"/>
        <w:autoSpaceDE/>
        <w:autoSpaceDN/>
        <w:bidi w:val="0"/>
        <w:spacing w:line="560" w:lineRule="exact"/>
        <w:ind w:firstLine="640" w:firstLineChars="200"/>
        <w:outlineLvl w:val="0"/>
        <w:rPr>
          <w:rFonts w:hint="eastAsia" w:hAnsi="黑体" w:eastAsia="黑体"/>
          <w:sz w:val="32"/>
          <w:szCs w:val="32"/>
        </w:rPr>
      </w:pPr>
      <w:r>
        <w:rPr>
          <w:rFonts w:hint="eastAsia" w:ascii="仿宋_GB2312" w:hAnsi="仿宋_GB2312" w:eastAsia="仿宋_GB2312" w:cs="仿宋_GB2312"/>
          <w:sz w:val="32"/>
          <w:szCs w:val="32"/>
          <w:lang w:val="en-US" w:eastAsia="zh-CN"/>
        </w:rPr>
        <w:t>对上年度快报销售额（营业额）分别达到10亿元、1亿元、2000万元及以上且达到一定增速的批发、零售、餐饮行业单位，按照销售额规模或增量比例给与奖励，每家单位每年资助上限根据企业所属行业分类设定，最高5000万元。</w:t>
      </w:r>
      <w:r>
        <w:rPr>
          <w:rFonts w:hint="eastAsia" w:hAnsi="黑体" w:eastAsia="黑体"/>
          <w:sz w:val="32"/>
          <w:szCs w:val="32"/>
        </w:rPr>
        <w:t xml:space="preserve"> </w:t>
      </w:r>
    </w:p>
    <w:p w14:paraId="0B4ACCFC">
      <w:pPr>
        <w:pageBreakBefore w:val="0"/>
        <w:widowControl/>
        <w:kinsoku/>
        <w:wordWrap/>
        <w:overflowPunct/>
        <w:topLinePunct w:val="0"/>
        <w:autoSpaceDE/>
        <w:autoSpaceDN/>
        <w:bidi w:val="0"/>
        <w:spacing w:line="560" w:lineRule="exact"/>
        <w:ind w:firstLine="640" w:firstLineChars="200"/>
        <w:outlineLvl w:val="0"/>
        <w:rPr>
          <w:rFonts w:eastAsia="黑体"/>
          <w:sz w:val="32"/>
          <w:szCs w:val="32"/>
        </w:rPr>
      </w:pPr>
      <w:r>
        <w:rPr>
          <w:rFonts w:hint="eastAsia" w:hAnsi="黑体" w:eastAsia="黑体"/>
          <w:sz w:val="32"/>
          <w:szCs w:val="32"/>
        </w:rPr>
        <w:t>二、资助方式</w:t>
      </w:r>
    </w:p>
    <w:p w14:paraId="5DD2FA03">
      <w:pPr>
        <w:spacing w:line="560" w:lineRule="exact"/>
        <w:ind w:firstLine="640" w:firstLineChars="200"/>
        <w:outlineLvl w:val="0"/>
        <w:rPr>
          <w:rFonts w:hint="eastAsia" w:eastAsia="仿宋_GB2312"/>
          <w:sz w:val="32"/>
          <w:szCs w:val="32"/>
          <w:highlight w:val="none"/>
        </w:rPr>
      </w:pPr>
      <w:r>
        <w:rPr>
          <w:rFonts w:hint="eastAsia" w:eastAsia="仿宋_GB2312"/>
          <w:sz w:val="32"/>
          <w:szCs w:val="32"/>
          <w:highlight w:val="none"/>
        </w:rPr>
        <w:t>本项资助属于专项类项目，资助资金的安排使用坚持公平、公开、公正的原则，实行自愿申报、科学决策和绩效评估的管理制度，采取无偿资助方式和事后补贴制，受资助项目无需验收。</w:t>
      </w:r>
    </w:p>
    <w:p w14:paraId="2C779D95">
      <w:pPr>
        <w:spacing w:line="560" w:lineRule="exact"/>
        <w:ind w:firstLine="640" w:firstLineChars="200"/>
        <w:outlineLvl w:val="0"/>
        <w:rPr>
          <w:rFonts w:hint="eastAsia" w:eastAsia="仿宋_GB2312"/>
          <w:sz w:val="32"/>
          <w:szCs w:val="32"/>
          <w:highlight w:val="none"/>
        </w:rPr>
      </w:pPr>
      <w:r>
        <w:rPr>
          <w:rFonts w:hint="eastAsia" w:eastAsia="仿宋_GB2312"/>
          <w:sz w:val="32"/>
          <w:szCs w:val="32"/>
          <w:highlight w:val="none"/>
        </w:rPr>
        <w:t>本项资助受年度资金预算控制，</w:t>
      </w:r>
      <w:r>
        <w:rPr>
          <w:rFonts w:hint="eastAsia" w:ascii="Times New Roman" w:hAnsi="Times New Roman" w:eastAsia="仿宋_GB2312"/>
          <w:sz w:val="32"/>
          <w:szCs w:val="32"/>
          <w:highlight w:val="none"/>
          <w:lang w:val="en-US" w:eastAsia="zh-CN"/>
        </w:rPr>
        <w:t>区商务局</w:t>
      </w:r>
      <w:r>
        <w:rPr>
          <w:rFonts w:hint="eastAsia" w:eastAsia="仿宋_GB2312"/>
          <w:sz w:val="32"/>
          <w:szCs w:val="32"/>
          <w:highlight w:val="none"/>
        </w:rPr>
        <w:t>视申报情况和预算安排，可以对资助金额、支持比例和拨付进度等进行统一调整，申报主体应无条件同意调整结果。</w:t>
      </w:r>
    </w:p>
    <w:p w14:paraId="1B82508E">
      <w:pPr>
        <w:pageBreakBefore w:val="0"/>
        <w:kinsoku/>
        <w:wordWrap/>
        <w:overflowPunct/>
        <w:topLinePunct w:val="0"/>
        <w:autoSpaceDE/>
        <w:autoSpaceDN/>
        <w:bidi w:val="0"/>
        <w:spacing w:line="560" w:lineRule="exact"/>
        <w:ind w:firstLine="640" w:firstLineChars="200"/>
        <w:outlineLvl w:val="0"/>
        <w:rPr>
          <w:rFonts w:ascii="仿宋_GB2312" w:eastAsia="仿宋_GB2312"/>
          <w:kern w:val="0"/>
          <w:sz w:val="32"/>
          <w:szCs w:val="32"/>
        </w:rPr>
      </w:pPr>
      <w:r>
        <w:rPr>
          <w:rFonts w:hint="eastAsia" w:hAnsi="黑体" w:eastAsia="黑体"/>
          <w:sz w:val="32"/>
          <w:szCs w:val="32"/>
        </w:rPr>
        <w:t>三、资助标准</w:t>
      </w:r>
    </w:p>
    <w:p w14:paraId="475E0BBC">
      <w:pPr>
        <w:spacing w:line="560" w:lineRule="exact"/>
        <w:ind w:firstLine="628"/>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（一）限上批发业</w:t>
      </w:r>
    </w:p>
    <w:p w14:paraId="32F6590C">
      <w:pPr>
        <w:spacing w:line="560" w:lineRule="exact"/>
        <w:ind w:firstLine="628"/>
        <w:rPr>
          <w:rFonts w:hint="eastAsia"/>
          <w:lang w:val="en-US" w:eastAsia="zh-CN"/>
        </w:rPr>
      </w:pPr>
      <w:r>
        <w:rPr>
          <w:rFonts w:hint="eastAsia" w:ascii="仿宋_GB2312" w:hAnsi="仿宋_GB2312" w:eastAsia="仿宋_GB2312" w:cs="仿宋_GB2312"/>
          <w:sz w:val="32"/>
          <w:szCs w:val="32"/>
          <w:highlight w:val="none"/>
          <w:lang w:val="en-US" w:eastAsia="zh-CN"/>
        </w:rPr>
        <w:t>1、资助标准</w:t>
      </w:r>
    </w:p>
    <w:tbl>
      <w:tblPr>
        <w:tblStyle w:val="8"/>
        <w:tblW w:w="98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2"/>
        <w:gridCol w:w="3825"/>
        <w:gridCol w:w="2475"/>
        <w:gridCol w:w="2779"/>
      </w:tblGrid>
      <w:tr w14:paraId="7707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27DB728D">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行业</w:t>
            </w:r>
          </w:p>
        </w:tc>
        <w:tc>
          <w:tcPr>
            <w:tcW w:w="3825"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3AE09602">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销售额条件</w:t>
            </w:r>
          </w:p>
        </w:tc>
        <w:tc>
          <w:tcPr>
            <w:tcW w:w="2475"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38070AB3">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增速条件</w:t>
            </w:r>
          </w:p>
        </w:tc>
        <w:tc>
          <w:tcPr>
            <w:tcW w:w="2779"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18A5A7BA">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资助金额</w:t>
            </w:r>
          </w:p>
        </w:tc>
      </w:tr>
      <w:tr w14:paraId="364C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vMerge w:val="restart"/>
            <w:tcBorders>
              <w:top w:val="single" w:color="auto" w:sz="4" w:space="0"/>
              <w:left w:val="single" w:color="auto" w:sz="4" w:space="0"/>
              <w:right w:val="single" w:color="auto" w:sz="4" w:space="0"/>
            </w:tcBorders>
            <w:noWrap w:val="0"/>
            <w:vAlign w:val="center"/>
          </w:tcPr>
          <w:p w14:paraId="654714CF">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限上批发业</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BCA129E">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10亿元≤2024年全年销售额&lt;20亿元</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1E6CAFC">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同比增速20%（含）以上</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44430D1A">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销售额增量*0.02%</w:t>
            </w:r>
          </w:p>
        </w:tc>
      </w:tr>
      <w:tr w14:paraId="3C19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vMerge w:val="continue"/>
            <w:tcBorders>
              <w:left w:val="single" w:color="auto" w:sz="4" w:space="0"/>
              <w:right w:val="single" w:color="auto" w:sz="4" w:space="0"/>
            </w:tcBorders>
            <w:noWrap w:val="0"/>
            <w:vAlign w:val="center"/>
          </w:tcPr>
          <w:p w14:paraId="6AD47AD9">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p>
        </w:tc>
        <w:tc>
          <w:tcPr>
            <w:tcW w:w="3825" w:type="dxa"/>
            <w:tcBorders>
              <w:top w:val="single" w:color="auto" w:sz="4" w:space="0"/>
              <w:left w:val="single" w:color="auto" w:sz="4" w:space="0"/>
              <w:bottom w:val="single" w:color="auto" w:sz="4" w:space="0"/>
              <w:right w:val="single" w:color="auto" w:sz="4" w:space="0"/>
            </w:tcBorders>
            <w:noWrap w:val="0"/>
            <w:vAlign w:val="center"/>
          </w:tcPr>
          <w:p w14:paraId="24669B5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20亿元≤2024年全年销售额&lt;100亿元</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C097D7D">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同比增速15%（含）以上</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4771B8DB">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销售额增量*0.03%</w:t>
            </w:r>
          </w:p>
        </w:tc>
      </w:tr>
      <w:tr w14:paraId="5C20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vMerge w:val="continue"/>
            <w:tcBorders>
              <w:left w:val="single" w:color="auto" w:sz="4" w:space="0"/>
              <w:right w:val="single" w:color="auto" w:sz="4" w:space="0"/>
            </w:tcBorders>
            <w:noWrap w:val="0"/>
            <w:vAlign w:val="center"/>
          </w:tcPr>
          <w:p w14:paraId="71C5E7F0">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p>
        </w:tc>
        <w:tc>
          <w:tcPr>
            <w:tcW w:w="3825" w:type="dxa"/>
            <w:vMerge w:val="restart"/>
            <w:tcBorders>
              <w:top w:val="single" w:color="auto" w:sz="4" w:space="0"/>
              <w:left w:val="single" w:color="auto" w:sz="4" w:space="0"/>
              <w:bottom w:val="single" w:color="auto" w:sz="4" w:space="0"/>
              <w:right w:val="single" w:color="auto" w:sz="4" w:space="0"/>
            </w:tcBorders>
            <w:noWrap w:val="0"/>
            <w:vAlign w:val="center"/>
          </w:tcPr>
          <w:p w14:paraId="51F779BD">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100亿元≤2024年全年销售额&lt;500亿元</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22D5D46">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同比增速5%（含）-10%</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7C236FA8">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销售额增量*0.04%+100万元</w:t>
            </w:r>
          </w:p>
        </w:tc>
      </w:tr>
      <w:tr w14:paraId="312E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vMerge w:val="continue"/>
            <w:tcBorders>
              <w:left w:val="single" w:color="auto" w:sz="4" w:space="0"/>
              <w:right w:val="single" w:color="auto" w:sz="4" w:space="0"/>
            </w:tcBorders>
            <w:noWrap w:val="0"/>
            <w:vAlign w:val="center"/>
          </w:tcPr>
          <w:p w14:paraId="5E281107">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p>
        </w:tc>
        <w:tc>
          <w:tcPr>
            <w:tcW w:w="3825" w:type="dxa"/>
            <w:vMerge w:val="continue"/>
            <w:tcBorders>
              <w:top w:val="single" w:color="auto" w:sz="4" w:space="0"/>
              <w:left w:val="single" w:color="auto" w:sz="4" w:space="0"/>
              <w:bottom w:val="single" w:color="auto" w:sz="4" w:space="0"/>
              <w:right w:val="single" w:color="auto" w:sz="4" w:space="0"/>
            </w:tcBorders>
            <w:noWrap w:val="0"/>
            <w:vAlign w:val="center"/>
          </w:tcPr>
          <w:p w14:paraId="18864FA9">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E7B2C2A">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同比增速10%（含）以上</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5C0E0A83">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销售额增量*0.05%+100万元</w:t>
            </w:r>
          </w:p>
        </w:tc>
      </w:tr>
      <w:tr w14:paraId="44CC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vMerge w:val="continue"/>
            <w:tcBorders>
              <w:left w:val="single" w:color="auto" w:sz="4" w:space="0"/>
              <w:bottom w:val="single" w:color="auto" w:sz="4" w:space="0"/>
              <w:right w:val="single" w:color="auto" w:sz="4" w:space="0"/>
            </w:tcBorders>
            <w:noWrap w:val="0"/>
            <w:vAlign w:val="center"/>
          </w:tcPr>
          <w:p w14:paraId="1A89A3B0">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11A7FBE">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500亿元≤2024年全年销售额</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1175EDF">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同比增速0%（含）以上</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AB8E90D">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销售额增量*0.06%+300万元</w:t>
            </w:r>
          </w:p>
        </w:tc>
      </w:tr>
    </w:tbl>
    <w:p w14:paraId="58B0D9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87C48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val="en-US" w:eastAsia="zh-CN"/>
        </w:rPr>
        <w:t>上述五项资助不可叠加，同时满足以上条件的批发业企业按其可获得的最高资助金额的一项进行资助，每家企业最高不超过500万元。</w:t>
      </w:r>
    </w:p>
    <w:p w14:paraId="2AC61919">
      <w:pPr>
        <w:numPr>
          <w:ilvl w:val="0"/>
          <w:numId w:val="0"/>
        </w:numPr>
        <w:spacing w:line="560" w:lineRule="exact"/>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因去年同期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数据为“0”或无同期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数据导致无法计算增速的企业，</w:t>
      </w:r>
      <w:r>
        <w:rPr>
          <w:rFonts w:hint="eastAsia" w:ascii="仿宋_GB2312" w:hAnsi="黑体" w:eastAsia="仿宋_GB2312"/>
          <w:sz w:val="32"/>
          <w:szCs w:val="32"/>
          <w:highlight w:val="none"/>
          <w:lang w:eastAsia="zh-CN"/>
        </w:rPr>
        <w:t>视为满足“</w:t>
      </w:r>
      <w:r>
        <w:rPr>
          <w:rFonts w:hint="eastAsia" w:ascii="仿宋_GB2312" w:hAnsi="仿宋_GB2312" w:eastAsia="仿宋_GB2312" w:cs="仿宋_GB2312"/>
          <w:sz w:val="32"/>
          <w:szCs w:val="32"/>
          <w:highlight w:val="none"/>
          <w:lang w:val="en-US" w:eastAsia="zh-CN"/>
        </w:rPr>
        <w:t>同比增速</w:t>
      </w:r>
      <w:r>
        <w:rPr>
          <w:rFonts w:hint="eastAsia" w:ascii="仿宋_GB2312" w:hAnsi="仿宋_GB2312" w:eastAsia="仿宋_GB2312" w:cs="仿宋_GB2312"/>
          <w:sz w:val="32"/>
          <w:szCs w:val="32"/>
          <w:lang w:val="en-US" w:eastAsia="zh-CN"/>
        </w:rPr>
        <w:t>20%（含）以上</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同比增速15</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同比增速5</w:t>
      </w:r>
      <w:r>
        <w:rPr>
          <w:rFonts w:hint="eastAsia" w:ascii="仿宋_GB2312" w:hAnsi="仿宋_GB2312" w:eastAsia="仿宋_GB2312" w:cs="仿宋_GB2312"/>
          <w:sz w:val="32"/>
          <w:szCs w:val="32"/>
          <w:lang w:val="en-US" w:eastAsia="zh-CN"/>
        </w:rPr>
        <w:t>%（含）-10%</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同比增速10</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同比增速0</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lang w:eastAsia="zh-CN"/>
        </w:rPr>
        <w:t>的增速条件。</w:t>
      </w:r>
    </w:p>
    <w:p w14:paraId="69F564CC">
      <w:pPr>
        <w:spacing w:line="560" w:lineRule="exact"/>
        <w:ind w:firstLine="628"/>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（二）限上零售业</w:t>
      </w:r>
    </w:p>
    <w:p w14:paraId="3E9C84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1、资助标准</w:t>
      </w:r>
    </w:p>
    <w:tbl>
      <w:tblPr>
        <w:tblStyle w:val="8"/>
        <w:tblW w:w="96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
        <w:gridCol w:w="2911"/>
        <w:gridCol w:w="2755"/>
        <w:gridCol w:w="3015"/>
      </w:tblGrid>
      <w:tr w14:paraId="56EA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75"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4577FC65">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行业</w:t>
            </w:r>
          </w:p>
        </w:tc>
        <w:tc>
          <w:tcPr>
            <w:tcW w:w="2911"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393499F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销售额条件</w:t>
            </w:r>
          </w:p>
        </w:tc>
        <w:tc>
          <w:tcPr>
            <w:tcW w:w="2755"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23A8851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增速条件</w:t>
            </w:r>
          </w:p>
        </w:tc>
        <w:tc>
          <w:tcPr>
            <w:tcW w:w="3015"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53C49A7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资助金额</w:t>
            </w:r>
          </w:p>
        </w:tc>
      </w:tr>
      <w:tr w14:paraId="44FA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10FAA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限上零售业</w:t>
            </w:r>
          </w:p>
        </w:tc>
        <w:tc>
          <w:tcPr>
            <w:tcW w:w="2911" w:type="dxa"/>
            <w:tcBorders>
              <w:top w:val="single" w:color="auto" w:sz="4" w:space="0"/>
              <w:left w:val="single" w:color="auto" w:sz="4" w:space="0"/>
              <w:bottom w:val="single" w:color="auto" w:sz="4" w:space="0"/>
              <w:right w:val="single" w:color="auto" w:sz="4" w:space="0"/>
            </w:tcBorders>
            <w:noWrap w:val="0"/>
            <w:vAlign w:val="center"/>
          </w:tcPr>
          <w:p w14:paraId="6F2F0F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2亿元≤2024年全年销售额&lt;10亿元</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6833830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同比增速20%（含）以上</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0B599B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销售额增量*0.1%</w:t>
            </w:r>
          </w:p>
          <w:p w14:paraId="513AA1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5E4D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EFE781">
            <w:pPr>
              <w:jc w:val="center"/>
              <w:rPr>
                <w:rFonts w:hint="eastAsia" w:ascii="仿宋_GB2312" w:hAnsi="宋体" w:eastAsia="仿宋_GB2312" w:cs="仿宋_GB2312"/>
                <w:i w:val="0"/>
                <w:iCs w:val="0"/>
                <w:color w:val="000000"/>
                <w:sz w:val="24"/>
                <w:szCs w:val="24"/>
                <w:u w:val="none"/>
              </w:rPr>
            </w:pPr>
          </w:p>
        </w:tc>
        <w:tc>
          <w:tcPr>
            <w:tcW w:w="2911" w:type="dxa"/>
            <w:tcBorders>
              <w:top w:val="single" w:color="auto" w:sz="4" w:space="0"/>
              <w:left w:val="single" w:color="auto" w:sz="4" w:space="0"/>
              <w:bottom w:val="single" w:color="auto" w:sz="4" w:space="0"/>
              <w:right w:val="single" w:color="auto" w:sz="4" w:space="0"/>
            </w:tcBorders>
            <w:noWrap w:val="0"/>
            <w:vAlign w:val="center"/>
          </w:tcPr>
          <w:p w14:paraId="5E183288">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10亿元≤2024年全年销售额</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20438C6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同比增速5%（含）以上</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D9CDCF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销售额增量*0.2%</w:t>
            </w:r>
          </w:p>
          <w:p w14:paraId="4998BF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5816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E7D31A">
            <w:pPr>
              <w:jc w:val="center"/>
              <w:rPr>
                <w:rFonts w:hint="eastAsia" w:ascii="仿宋_GB2312" w:hAnsi="宋体" w:eastAsia="仿宋_GB2312" w:cs="仿宋_GB2312"/>
                <w:i w:val="0"/>
                <w:iCs w:val="0"/>
                <w:color w:val="000000"/>
                <w:sz w:val="24"/>
                <w:szCs w:val="24"/>
                <w:u w:val="none"/>
              </w:rPr>
            </w:pPr>
          </w:p>
        </w:tc>
        <w:tc>
          <w:tcPr>
            <w:tcW w:w="2911" w:type="dxa"/>
            <w:tcBorders>
              <w:top w:val="single" w:color="auto" w:sz="4" w:space="0"/>
              <w:left w:val="single" w:color="auto" w:sz="4" w:space="0"/>
              <w:bottom w:val="single" w:color="auto" w:sz="4" w:space="0"/>
              <w:right w:val="single" w:color="auto" w:sz="4" w:space="0"/>
            </w:tcBorders>
            <w:noWrap w:val="0"/>
            <w:vAlign w:val="center"/>
          </w:tcPr>
          <w:p w14:paraId="2034BD24">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10亿元≤2024年全年销售额</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454179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同比增速10%（含）以上</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0978CDC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销售额增量*0.3%</w:t>
            </w:r>
          </w:p>
          <w:p w14:paraId="5B1750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4C03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35F1F8">
            <w:pPr>
              <w:jc w:val="center"/>
              <w:rPr>
                <w:rFonts w:hint="eastAsia" w:ascii="仿宋_GB2312" w:hAnsi="宋体" w:eastAsia="仿宋_GB2312" w:cs="仿宋_GB2312"/>
                <w:i w:val="0"/>
                <w:iCs w:val="0"/>
                <w:color w:val="000000"/>
                <w:sz w:val="24"/>
                <w:szCs w:val="24"/>
                <w:u w:val="none"/>
              </w:rPr>
            </w:pPr>
          </w:p>
        </w:tc>
        <w:tc>
          <w:tcPr>
            <w:tcW w:w="2911" w:type="dxa"/>
            <w:tcBorders>
              <w:top w:val="single" w:color="auto" w:sz="4" w:space="0"/>
              <w:left w:val="single" w:color="auto" w:sz="4" w:space="0"/>
              <w:bottom w:val="single" w:color="auto" w:sz="4" w:space="0"/>
              <w:right w:val="single" w:color="auto" w:sz="4" w:space="0"/>
            </w:tcBorders>
            <w:noWrap w:val="0"/>
            <w:vAlign w:val="center"/>
          </w:tcPr>
          <w:p w14:paraId="72CC05B0">
            <w:pPr>
              <w:jc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10亿元≤2024年全年销售额</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3D2AAF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同比增速15%（含）以上</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1DAB5A0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销售额增量*0.4%</w:t>
            </w:r>
          </w:p>
          <w:p w14:paraId="7B2DF7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bl>
    <w:p w14:paraId="5C2A1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val="en-US" w:eastAsia="zh-CN"/>
        </w:rPr>
        <w:t>上述四项资助不可叠加，同时满足以上条件的零售业企业按其可获得的最高资助金额的一项进行资助，每家企业最高不超过300万元。</w:t>
      </w:r>
    </w:p>
    <w:p w14:paraId="04DD9329">
      <w:pPr>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lang w:val="en-US"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因去年同期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数据为“0”或无同期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数据导致无法计算增速的企业，</w:t>
      </w:r>
      <w:r>
        <w:rPr>
          <w:rFonts w:hint="eastAsia" w:ascii="仿宋_GB2312" w:hAnsi="黑体" w:eastAsia="仿宋_GB2312"/>
          <w:sz w:val="32"/>
          <w:szCs w:val="32"/>
          <w:highlight w:val="none"/>
          <w:lang w:eastAsia="zh-CN"/>
        </w:rPr>
        <w:t>视为满足“</w:t>
      </w:r>
      <w:r>
        <w:rPr>
          <w:rFonts w:hint="eastAsia" w:ascii="仿宋_GB2312" w:hAnsi="仿宋_GB2312" w:eastAsia="仿宋_GB2312" w:cs="仿宋_GB2312"/>
          <w:sz w:val="32"/>
          <w:szCs w:val="32"/>
          <w:highlight w:val="none"/>
          <w:lang w:val="en-US" w:eastAsia="zh-CN"/>
        </w:rPr>
        <w:t>同比增速</w:t>
      </w:r>
      <w:r>
        <w:rPr>
          <w:rFonts w:hint="eastAsia" w:ascii="仿宋_GB2312" w:hAnsi="仿宋_GB2312" w:eastAsia="仿宋_GB2312" w:cs="仿宋_GB2312"/>
          <w:sz w:val="32"/>
          <w:szCs w:val="32"/>
          <w:lang w:val="en-US" w:eastAsia="zh-CN"/>
        </w:rPr>
        <w:t>20%（含）以上</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同比增速5</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同比增速10</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同比增速15</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lang w:eastAsia="zh-CN"/>
        </w:rPr>
        <w:t>的增速条件。</w:t>
      </w:r>
    </w:p>
    <w:p w14:paraId="1AA3F1F0">
      <w:pPr>
        <w:spacing w:line="560" w:lineRule="exact"/>
        <w:ind w:firstLine="628"/>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（三）限上餐饮业</w:t>
      </w:r>
    </w:p>
    <w:p w14:paraId="2EC008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1、资助标准</w:t>
      </w:r>
    </w:p>
    <w:tbl>
      <w:tblPr>
        <w:tblStyle w:val="8"/>
        <w:tblW w:w="94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1"/>
        <w:gridCol w:w="2983"/>
        <w:gridCol w:w="2610"/>
        <w:gridCol w:w="2880"/>
      </w:tblGrid>
      <w:tr w14:paraId="34C4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4494E86A">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行业</w:t>
            </w:r>
          </w:p>
        </w:tc>
        <w:tc>
          <w:tcPr>
            <w:tcW w:w="2983"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1988B08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营业额条件</w:t>
            </w:r>
          </w:p>
        </w:tc>
        <w:tc>
          <w:tcPr>
            <w:tcW w:w="2610"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4569794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增速条件</w:t>
            </w:r>
          </w:p>
        </w:tc>
        <w:tc>
          <w:tcPr>
            <w:tcW w:w="2880" w:type="dxa"/>
            <w:tcBorders>
              <w:top w:val="single" w:color="auto" w:sz="4" w:space="0"/>
              <w:left w:val="single" w:color="auto" w:sz="4" w:space="0"/>
              <w:bottom w:val="single" w:color="auto" w:sz="4" w:space="0"/>
              <w:right w:val="single" w:color="auto" w:sz="4" w:space="0"/>
            </w:tcBorders>
            <w:shd w:val="clear" w:color="auto" w:fill="C8C8C8"/>
            <w:noWrap w:val="0"/>
            <w:vAlign w:val="center"/>
          </w:tcPr>
          <w:p w14:paraId="05EBDF9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资助金额</w:t>
            </w:r>
          </w:p>
        </w:tc>
      </w:tr>
      <w:tr w14:paraId="3682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01" w:type="dxa"/>
            <w:vMerge w:val="restart"/>
            <w:tcBorders>
              <w:top w:val="single" w:color="auto" w:sz="4" w:space="0"/>
              <w:left w:val="single" w:color="auto" w:sz="4" w:space="0"/>
              <w:bottom w:val="single" w:color="auto" w:sz="4" w:space="0"/>
              <w:right w:val="single" w:color="auto" w:sz="4" w:space="0"/>
            </w:tcBorders>
            <w:noWrap w:val="0"/>
            <w:vAlign w:val="center"/>
          </w:tcPr>
          <w:p w14:paraId="18DA44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限上餐饮业</w:t>
            </w:r>
          </w:p>
        </w:tc>
        <w:tc>
          <w:tcPr>
            <w:tcW w:w="2983" w:type="dxa"/>
            <w:tcBorders>
              <w:top w:val="single" w:color="auto" w:sz="4" w:space="0"/>
              <w:left w:val="single" w:color="auto" w:sz="4" w:space="0"/>
              <w:bottom w:val="single" w:color="auto" w:sz="4" w:space="0"/>
              <w:right w:val="single" w:color="auto" w:sz="4" w:space="0"/>
            </w:tcBorders>
            <w:noWrap w:val="0"/>
            <w:vAlign w:val="center"/>
          </w:tcPr>
          <w:p w14:paraId="1DC8B6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2000万元≤2024年全年营业额&lt;4000万元</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408BB1E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同比增速0%（含）以上</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B7E1B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营业额增量*0.2%</w:t>
            </w:r>
          </w:p>
          <w:p w14:paraId="75F24E9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p>
        </w:tc>
      </w:tr>
      <w:tr w14:paraId="7AB5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14:paraId="03F7F747">
            <w:pPr>
              <w:jc w:val="center"/>
              <w:rPr>
                <w:rFonts w:hint="eastAsia" w:ascii="仿宋_GB2312" w:hAnsi="宋体" w:eastAsia="仿宋_GB2312" w:cs="仿宋_GB2312"/>
                <w:i w:val="0"/>
                <w:iCs w:val="0"/>
                <w:color w:val="000000"/>
                <w:sz w:val="24"/>
                <w:szCs w:val="24"/>
                <w:u w:val="none"/>
              </w:rPr>
            </w:pPr>
          </w:p>
        </w:tc>
        <w:tc>
          <w:tcPr>
            <w:tcW w:w="2983" w:type="dxa"/>
            <w:tcBorders>
              <w:top w:val="single" w:color="auto" w:sz="4" w:space="0"/>
              <w:left w:val="single" w:color="auto" w:sz="4" w:space="0"/>
              <w:bottom w:val="single" w:color="auto" w:sz="4" w:space="0"/>
              <w:right w:val="single" w:color="auto" w:sz="4" w:space="0"/>
            </w:tcBorders>
            <w:noWrap w:val="0"/>
            <w:vAlign w:val="center"/>
          </w:tcPr>
          <w:p w14:paraId="6A1C09DA">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4000万元≤2024年全年营业额</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62FAF7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同比增速0%（含）以上</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643B52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营业额增量*0.3%</w:t>
            </w:r>
          </w:p>
          <w:p w14:paraId="2AD4A0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bl>
    <w:p w14:paraId="1447CCD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黑体" w:eastAsia="仿宋_GB2312"/>
          <w:b w:val="0"/>
          <w:bCs w:val="0"/>
          <w:sz w:val="32"/>
          <w:szCs w:val="32"/>
          <w:highlight w:val="none"/>
          <w:lang w:val="en-US" w:eastAsia="zh-CN"/>
        </w:rPr>
      </w:pPr>
    </w:p>
    <w:p w14:paraId="21E9A5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val="en-US" w:eastAsia="zh-CN"/>
        </w:rPr>
        <w:t>上述两项资助不可叠加，同时满足以上条件的餐饮业企业按其可获得的最高资助金额的一项进行资助，每家企业最高不超过200万元。</w:t>
      </w:r>
    </w:p>
    <w:p w14:paraId="4886203B">
      <w:pPr>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因去年同期</w:t>
      </w:r>
      <w:r>
        <w:rPr>
          <w:rFonts w:hint="eastAsia" w:ascii="仿宋_GB2312" w:hAnsi="黑体" w:eastAsia="仿宋_GB2312"/>
          <w:sz w:val="32"/>
          <w:szCs w:val="32"/>
          <w:highlight w:val="none"/>
          <w:lang w:val="en-US" w:eastAsia="zh-CN"/>
        </w:rPr>
        <w:t>营业额</w:t>
      </w:r>
      <w:r>
        <w:rPr>
          <w:rFonts w:hint="eastAsia" w:ascii="仿宋_GB2312" w:hAnsi="黑体" w:eastAsia="仿宋_GB2312"/>
          <w:sz w:val="32"/>
          <w:szCs w:val="32"/>
          <w:highlight w:val="none"/>
        </w:rPr>
        <w:t>数据为“0”或无同期</w:t>
      </w:r>
      <w:r>
        <w:rPr>
          <w:rFonts w:hint="eastAsia" w:ascii="仿宋_GB2312" w:hAnsi="黑体" w:eastAsia="仿宋_GB2312"/>
          <w:sz w:val="32"/>
          <w:szCs w:val="32"/>
          <w:highlight w:val="none"/>
          <w:lang w:val="en-US" w:eastAsia="zh-CN"/>
        </w:rPr>
        <w:t>营业额</w:t>
      </w:r>
      <w:r>
        <w:rPr>
          <w:rFonts w:hint="eastAsia" w:ascii="仿宋_GB2312" w:hAnsi="黑体" w:eastAsia="仿宋_GB2312"/>
          <w:sz w:val="32"/>
          <w:szCs w:val="32"/>
          <w:highlight w:val="none"/>
        </w:rPr>
        <w:t>数据导致无法计算增速的企业，</w:t>
      </w:r>
      <w:r>
        <w:rPr>
          <w:rFonts w:hint="eastAsia" w:ascii="仿宋_GB2312" w:hAnsi="黑体" w:eastAsia="仿宋_GB2312"/>
          <w:sz w:val="32"/>
          <w:szCs w:val="32"/>
          <w:highlight w:val="none"/>
          <w:lang w:eastAsia="zh-CN"/>
        </w:rPr>
        <w:t>视为满足“</w:t>
      </w:r>
      <w:r>
        <w:rPr>
          <w:rFonts w:hint="eastAsia" w:ascii="仿宋_GB2312" w:hAnsi="仿宋_GB2312" w:eastAsia="仿宋_GB2312" w:cs="仿宋_GB2312"/>
          <w:sz w:val="32"/>
          <w:szCs w:val="32"/>
          <w:highlight w:val="none"/>
          <w:lang w:val="en-US" w:eastAsia="zh-CN"/>
        </w:rPr>
        <w:t>同比增速0</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eastAsia="zh-CN"/>
        </w:rPr>
        <w:t>”的增速条件。</w:t>
      </w:r>
    </w:p>
    <w:p w14:paraId="39F670D8">
      <w:pPr>
        <w:pageBreakBefore w:val="0"/>
        <w:widowControl/>
        <w:kinsoku/>
        <w:wordWrap/>
        <w:overflowPunct/>
        <w:topLinePunct w:val="0"/>
        <w:autoSpaceDE/>
        <w:autoSpaceDN/>
        <w:bidi w:val="0"/>
        <w:spacing w:line="560" w:lineRule="exact"/>
        <w:ind w:firstLine="537" w:firstLineChars="168"/>
        <w:outlineLvl w:val="0"/>
        <w:rPr>
          <w:rFonts w:hAnsi="黑体" w:eastAsia="黑体"/>
          <w:sz w:val="32"/>
          <w:szCs w:val="32"/>
        </w:rPr>
      </w:pPr>
      <w:r>
        <w:rPr>
          <w:rFonts w:hint="eastAsia" w:hAnsi="黑体" w:eastAsia="黑体"/>
          <w:sz w:val="32"/>
          <w:szCs w:val="32"/>
        </w:rPr>
        <w:t>四、申请条件</w:t>
      </w:r>
    </w:p>
    <w:p w14:paraId="72142A4B">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（一）</w:t>
      </w:r>
      <w:r>
        <w:rPr>
          <w:rFonts w:hint="eastAsia" w:ascii="仿宋_GB2312" w:hAnsi="仿宋_GB2312" w:eastAsia="仿宋_GB2312" w:cs="仿宋_GB2312"/>
          <w:bCs/>
          <w:color w:val="000000"/>
          <w:sz w:val="32"/>
          <w:szCs w:val="32"/>
        </w:rPr>
        <w:t>申请本项资金资助的机构应符合以下基本条件：</w:t>
      </w:r>
    </w:p>
    <w:p w14:paraId="1A120E86">
      <w:pPr>
        <w:pageBreakBefore w:val="0"/>
        <w:widowControl/>
        <w:kinsoku/>
        <w:wordWrap/>
        <w:overflowPunct/>
        <w:topLinePunct w:val="0"/>
        <w:autoSpaceDE/>
        <w:autoSpaceDN/>
        <w:bidi w:val="0"/>
        <w:spacing w:line="560" w:lineRule="exact"/>
        <w:ind w:firstLine="537" w:firstLineChars="168"/>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14:paraId="313F4143">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14:paraId="76110BB0">
      <w:pPr>
        <w:widowControl/>
        <w:spacing w:line="560" w:lineRule="exact"/>
        <w:ind w:firstLine="537" w:firstLineChars="168"/>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3.应积极配合区委、区政府相关工作。</w:t>
      </w:r>
    </w:p>
    <w:p w14:paraId="36AFA62B">
      <w:pPr>
        <w:widowControl/>
        <w:spacing w:line="560" w:lineRule="exact"/>
        <w:ind w:firstLine="537" w:firstLineChars="168"/>
        <w:rPr>
          <w:rFonts w:hint="eastAsia" w:ascii="仿宋_GB2312" w:hAnsi="仿宋_GB2312" w:eastAsia="仿宋_GB2312" w:cs="仿宋_GB2312"/>
          <w:color w:val="auto"/>
          <w:sz w:val="32"/>
          <w:szCs w:val="32"/>
          <w:highlight w:val="none"/>
          <w:lang w:val="en-US" w:eastAsia="zh-CN"/>
        </w:rPr>
      </w:pPr>
      <w:r>
        <w:rPr>
          <w:rFonts w:hint="default" w:ascii="仿宋_GB2312" w:eastAsia="仿宋_GB2312"/>
          <w:color w:val="auto"/>
          <w:sz w:val="32"/>
          <w:szCs w:val="32"/>
        </w:rPr>
        <w:t>4.</w:t>
      </w:r>
      <w:r>
        <w:rPr>
          <w:rFonts w:hint="eastAsia" w:ascii="仿宋_GB2312" w:eastAsia="仿宋_GB2312"/>
          <w:color w:val="auto"/>
          <w:sz w:val="32"/>
          <w:szCs w:val="32"/>
        </w:rPr>
        <w:t>申报主体在“国家统计局统计联网直报平台”中按照《国民经济行业分类》（GB/T 4754—2017）属于“批发业”（F51）</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零售业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F52）、“餐饮业（F62）”。</w:t>
      </w:r>
    </w:p>
    <w:p w14:paraId="0DFE3A12">
      <w:pPr>
        <w:pStyle w:val="7"/>
        <w:keepNext w:val="0"/>
        <w:keepLines w:val="0"/>
        <w:pageBreakBefore w:val="0"/>
        <w:kinsoku/>
        <w:wordWrap/>
        <w:overflowPunct/>
        <w:topLinePunct w:val="0"/>
        <w:autoSpaceDE/>
        <w:autoSpaceDN/>
        <w:bidi w:val="0"/>
        <w:spacing w:after="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14:paraId="1A3B8ACA">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14:paraId="3C2B2639">
      <w:pPr>
        <w:pageBreakBefore w:val="0"/>
        <w:kinsoku/>
        <w:wordWrap/>
        <w:overflowPunct/>
        <w:topLinePunct w:val="0"/>
        <w:autoSpaceDE/>
        <w:autoSpaceDN/>
        <w:bidi w:val="0"/>
        <w:adjustRightInd w:val="0"/>
        <w:snapToGrid w:val="0"/>
        <w:spacing w:line="560" w:lineRule="exact"/>
        <w:ind w:firstLine="640" w:firstLineChars="200"/>
        <w:outlineLvl w:val="9"/>
      </w:pPr>
      <w:r>
        <w:rPr>
          <w:rFonts w:ascii="仿宋_GB2312" w:hAnsi="宋体" w:eastAsia="仿宋_GB2312"/>
          <w:sz w:val="32"/>
          <w:szCs w:val="32"/>
          <w:highlight w:val="none"/>
        </w:rPr>
        <w:t>2</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提出资助申请后，申报主体项目实施地或数据申报地发生变化，不再符合申报条件的。</w:t>
      </w:r>
    </w:p>
    <w:sectPr>
      <w:headerReference r:id="rId3" w:type="default"/>
      <w:footerReference r:id="rId4" w:type="default"/>
      <w:footerReference r:id="rId5" w:type="even"/>
      <w:pgSz w:w="11906" w:h="16838"/>
      <w:pgMar w:top="1440" w:right="1746"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23EEE8-E8BF-4033-B4E2-A345129E81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ECB535F-74A9-40FC-802E-846A6C0F76D2}"/>
  </w:font>
  <w:font w:name="方正小标宋_GBK">
    <w:panose1 w:val="03000509000000000000"/>
    <w:charset w:val="86"/>
    <w:family w:val="script"/>
    <w:pitch w:val="default"/>
    <w:sig w:usb0="00000001" w:usb1="080E0000" w:usb2="00000000" w:usb3="00000000" w:csb0="00040000" w:csb1="00000000"/>
    <w:embedRegular r:id="rId3" w:fontKey="{CBB16B8E-8746-49FD-85DA-D5C3AFCB1CCB}"/>
  </w:font>
  <w:font w:name="方正小标宋简体">
    <w:altName w:val="仿宋_GB2312"/>
    <w:panose1 w:val="02000000000000000000"/>
    <w:charset w:val="86"/>
    <w:family w:val="auto"/>
    <w:pitch w:val="default"/>
    <w:sig w:usb0="00000000" w:usb1="00000000" w:usb2="00000012" w:usb3="00000000" w:csb0="00040001" w:csb1="00000000"/>
    <w:embedRegular r:id="rId4" w:fontKey="{048D954F-0C0B-4493-A733-90A86FE67425}"/>
  </w:font>
  <w:font w:name="仿宋">
    <w:panose1 w:val="02010609060101010101"/>
    <w:charset w:val="86"/>
    <w:family w:val="modern"/>
    <w:pitch w:val="default"/>
    <w:sig w:usb0="800002BF" w:usb1="38CF7CFA" w:usb2="00000016" w:usb3="00000000" w:csb0="00040001" w:csb1="00000000"/>
    <w:embedRegular r:id="rId5" w:fontKey="{B1389515-9918-4DC3-8475-DB6F3D027691}"/>
  </w:font>
  <w:font w:name="楷体_GB2312">
    <w:panose1 w:val="02010609030101010101"/>
    <w:charset w:val="86"/>
    <w:family w:val="modern"/>
    <w:pitch w:val="default"/>
    <w:sig w:usb0="00000001" w:usb1="080E0000" w:usb2="00000000" w:usb3="00000000" w:csb0="00040000" w:csb1="00000000"/>
    <w:embedRegular r:id="rId6" w:fontKey="{C9D19EC5-A284-4083-94A8-52F56C0789A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F8004">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14:paraId="39F5C93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41EB">
    <w:pPr>
      <w:pStyle w:val="5"/>
      <w:framePr w:wrap="around" w:vAnchor="text" w:hAnchor="margin" w:xAlign="center" w:y="1"/>
      <w:rPr>
        <w:rStyle w:val="11"/>
      </w:rPr>
    </w:pPr>
    <w:r>
      <w:fldChar w:fldCharType="begin"/>
    </w:r>
    <w:r>
      <w:rPr>
        <w:rStyle w:val="11"/>
      </w:rPr>
      <w:instrText xml:space="preserve">PAGE  </w:instrText>
    </w:r>
    <w:r>
      <w:fldChar w:fldCharType="end"/>
    </w:r>
  </w:p>
  <w:p w14:paraId="78925A8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95A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60FE4A61"/>
    <w:rsid w:val="006F19B7"/>
    <w:rsid w:val="02DB2C1B"/>
    <w:rsid w:val="05947C79"/>
    <w:rsid w:val="07FE7615"/>
    <w:rsid w:val="08A83EE1"/>
    <w:rsid w:val="095F3199"/>
    <w:rsid w:val="09EC5DDD"/>
    <w:rsid w:val="0DDA0BC8"/>
    <w:rsid w:val="1B0964F4"/>
    <w:rsid w:val="1BC02037"/>
    <w:rsid w:val="1EA57936"/>
    <w:rsid w:val="1F724B61"/>
    <w:rsid w:val="20170D71"/>
    <w:rsid w:val="22785764"/>
    <w:rsid w:val="22E92853"/>
    <w:rsid w:val="23B819CC"/>
    <w:rsid w:val="248164B2"/>
    <w:rsid w:val="24A75B2E"/>
    <w:rsid w:val="2AB75173"/>
    <w:rsid w:val="2D477C4E"/>
    <w:rsid w:val="2F100774"/>
    <w:rsid w:val="30251326"/>
    <w:rsid w:val="30D92BC5"/>
    <w:rsid w:val="328D4718"/>
    <w:rsid w:val="3A5B2B4D"/>
    <w:rsid w:val="3CCB7597"/>
    <w:rsid w:val="3DC2196D"/>
    <w:rsid w:val="3F2F6B8F"/>
    <w:rsid w:val="414B1D37"/>
    <w:rsid w:val="430242C3"/>
    <w:rsid w:val="43450C25"/>
    <w:rsid w:val="48C51019"/>
    <w:rsid w:val="4B2B6BE4"/>
    <w:rsid w:val="4BC56432"/>
    <w:rsid w:val="4E1F1505"/>
    <w:rsid w:val="4E883264"/>
    <w:rsid w:val="4EF5CAC0"/>
    <w:rsid w:val="50AC7F52"/>
    <w:rsid w:val="518D1C42"/>
    <w:rsid w:val="531124F9"/>
    <w:rsid w:val="55AD05A3"/>
    <w:rsid w:val="56032DDD"/>
    <w:rsid w:val="563F71BD"/>
    <w:rsid w:val="58650932"/>
    <w:rsid w:val="5BC59DA5"/>
    <w:rsid w:val="5C130E6F"/>
    <w:rsid w:val="5D6360FD"/>
    <w:rsid w:val="5ECFB6D4"/>
    <w:rsid w:val="5F29292C"/>
    <w:rsid w:val="5FA80816"/>
    <w:rsid w:val="60062873"/>
    <w:rsid w:val="60432042"/>
    <w:rsid w:val="60BC204A"/>
    <w:rsid w:val="60FE4A61"/>
    <w:rsid w:val="6177AC6D"/>
    <w:rsid w:val="63FFC798"/>
    <w:rsid w:val="64736BA9"/>
    <w:rsid w:val="64C97780"/>
    <w:rsid w:val="675F2251"/>
    <w:rsid w:val="681C42D2"/>
    <w:rsid w:val="68522367"/>
    <w:rsid w:val="69641188"/>
    <w:rsid w:val="6AEC64D2"/>
    <w:rsid w:val="6C083A44"/>
    <w:rsid w:val="6C5C37CC"/>
    <w:rsid w:val="6DF8AA10"/>
    <w:rsid w:val="6EF80DB4"/>
    <w:rsid w:val="712874FC"/>
    <w:rsid w:val="737F315E"/>
    <w:rsid w:val="755D644F"/>
    <w:rsid w:val="75AF5C39"/>
    <w:rsid w:val="778E0214"/>
    <w:rsid w:val="77DF7AF0"/>
    <w:rsid w:val="77ED165C"/>
    <w:rsid w:val="781814EC"/>
    <w:rsid w:val="7B982EF9"/>
    <w:rsid w:val="7BE5CB7A"/>
    <w:rsid w:val="7F74B241"/>
    <w:rsid w:val="7F902DE2"/>
    <w:rsid w:val="7FBF30AA"/>
    <w:rsid w:val="7FDE567D"/>
    <w:rsid w:val="7FDF731D"/>
    <w:rsid w:val="96E44F79"/>
    <w:rsid w:val="9EFFDD4A"/>
    <w:rsid w:val="BEECFF24"/>
    <w:rsid w:val="BFE77B3A"/>
    <w:rsid w:val="C97DB41A"/>
    <w:rsid w:val="DB7D113B"/>
    <w:rsid w:val="DBBF003F"/>
    <w:rsid w:val="DCDF5BF9"/>
    <w:rsid w:val="DFDB78A2"/>
    <w:rsid w:val="EDEBD845"/>
    <w:rsid w:val="F3F57EAD"/>
    <w:rsid w:val="F4DFB8F5"/>
    <w:rsid w:val="F56A31FD"/>
    <w:rsid w:val="FABFBE12"/>
    <w:rsid w:val="FAE59409"/>
    <w:rsid w:val="FBDD8DE7"/>
    <w:rsid w:val="FEDFC055"/>
    <w:rsid w:val="FFA980A1"/>
    <w:rsid w:val="FFE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font31"/>
    <w:basedOn w:val="10"/>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787</Words>
  <Characters>892</Characters>
  <Lines>0</Lines>
  <Paragraphs>0</Paragraphs>
  <TotalTime>42</TotalTime>
  <ScaleCrop>false</ScaleCrop>
  <LinksUpToDate>false</LinksUpToDate>
  <CharactersWithSpaces>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2024-06-03T23:22:00Z</dcterms:created>
  <dc:creator>张思敏</dc:creator>
  <cp:lastModifiedBy>姬艳丽</cp:lastModifiedBy>
  <cp:lastPrinted>2025-11-13T01:56:00Z</cp:lastPrinted>
  <dcterms:modified xsi:type="dcterms:W3CDTF">2025-12-02T09:41:31Z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1E67F22094614F499B338C96B8DE38FB_13</vt:lpwstr>
  </property>
  <property fmtid="{D5CDD505-2E9C-101B-9397-08002B2CF9AE}" pid="4" name="KSOTemplateDocerSaveRecord">
    <vt:lpwstr>eyJoZGlkIjoiYzhjOTg1YTM1NDNjZTllMjg3ZThiYjM3ZjVmNjg5ZTgiLCJ1c2VySWQiOiIxNDQzNjAzNzU3In0=</vt:lpwstr>
  </property>
</Properties>
</file>