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A2ED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11"/>
          <w:rFonts w:hint="eastAsia" w:ascii="CESI小标宋-GB2312" w:hAnsi="CESI小标宋-GB2312" w:eastAsia="CESI小标宋-GB2312" w:cs="CESI小标宋-GB2312"/>
          <w:b w:val="0"/>
          <w:i w:val="0"/>
          <w:kern w:val="0"/>
          <w:sz w:val="44"/>
          <w:szCs w:val="44"/>
          <w:highlight w:val="none"/>
          <w:lang w:val="en-US" w:eastAsia="zh-CN"/>
        </w:rPr>
      </w:pPr>
      <w:r>
        <w:rPr>
          <w:rStyle w:val="11"/>
          <w:rFonts w:hint="eastAsia" w:ascii="仿宋_GB2312" w:hAnsi="仿宋_GB2312" w:eastAsia="黑体" w:cs="仿宋_GB2312"/>
          <w:b w:val="0"/>
          <w:i w:val="0"/>
          <w:kern w:val="0"/>
          <w:sz w:val="32"/>
          <w:szCs w:val="32"/>
          <w:highlight w:val="none"/>
          <w:lang w:val="en-US" w:eastAsia="zh-CN"/>
        </w:rPr>
        <w:t>附件</w:t>
      </w:r>
      <w:r>
        <w:rPr>
          <w:rStyle w:val="11"/>
          <w:rFonts w:hint="eastAsia" w:ascii="CESI黑体-GB2312" w:hAnsi="CESI黑体-GB2312" w:eastAsia="CESI黑体-GB2312" w:cs="CESI黑体-GB2312"/>
          <w:b w:val="0"/>
          <w:i w:val="0"/>
          <w:kern w:val="0"/>
          <w:sz w:val="32"/>
          <w:szCs w:val="32"/>
          <w:highlight w:val="none"/>
          <w:lang w:val="en-US" w:eastAsia="zh-CN"/>
        </w:rPr>
        <w:t>2</w:t>
      </w:r>
    </w:p>
    <w:p w14:paraId="1A908A5A">
      <w:pPr>
        <w:pStyle w:val="2"/>
        <w:spacing w:line="560" w:lineRule="exact"/>
        <w:rPr>
          <w:rFonts w:hint="eastAsia"/>
          <w:highlight w:val="none"/>
          <w:lang w:val="en-US" w:eastAsia="zh-CN"/>
        </w:rPr>
      </w:pPr>
    </w:p>
    <w:p w14:paraId="6E10C28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Style w:val="11"/>
          <w:rFonts w:hint="eastAsia" w:ascii="方正小标宋简体" w:hAnsi="方正小标宋简体" w:eastAsia="方正小标宋简体" w:cs="方正小标宋简体"/>
          <w:b w:val="0"/>
          <w:i w:val="0"/>
          <w:kern w:val="0"/>
          <w:sz w:val="44"/>
          <w:szCs w:val="44"/>
          <w:highlight w:val="none"/>
          <w:lang w:val="en" w:eastAsia="zh-CN"/>
        </w:rPr>
      </w:pPr>
      <w:bookmarkStart w:id="0" w:name="_GoBack"/>
      <w:r>
        <w:rPr>
          <w:rStyle w:val="11"/>
          <w:rFonts w:hint="eastAsia" w:ascii="方正小标宋简体" w:hAnsi="方正小标宋简体" w:eastAsia="方正小标宋简体" w:cs="方正小标宋简体"/>
          <w:b w:val="0"/>
          <w:i w:val="0"/>
          <w:kern w:val="0"/>
          <w:sz w:val="44"/>
          <w:szCs w:val="44"/>
          <w:highlight w:val="none"/>
          <w:lang w:val="en-US" w:eastAsia="zh-CN"/>
        </w:rPr>
        <w:t>202</w:t>
      </w:r>
      <w:r>
        <w:rPr>
          <w:rStyle w:val="11"/>
          <w:rFonts w:hint="default" w:ascii="方正小标宋简体" w:hAnsi="方正小标宋简体" w:eastAsia="方正小标宋简体" w:cs="方正小标宋简体"/>
          <w:b w:val="0"/>
          <w:i w:val="0"/>
          <w:kern w:val="0"/>
          <w:sz w:val="44"/>
          <w:szCs w:val="44"/>
          <w:highlight w:val="none"/>
          <w:lang w:val="en-US" w:eastAsia="zh-CN"/>
        </w:rPr>
        <w:t>5</w:t>
      </w:r>
      <w:r>
        <w:rPr>
          <w:rStyle w:val="11"/>
          <w:rFonts w:hint="eastAsia" w:ascii="方正小标宋简体" w:hAnsi="方正小标宋简体" w:eastAsia="方正小标宋简体" w:cs="方正小标宋简体"/>
          <w:b w:val="0"/>
          <w:i w:val="0"/>
          <w:kern w:val="0"/>
          <w:sz w:val="44"/>
          <w:szCs w:val="44"/>
          <w:highlight w:val="none"/>
          <w:lang w:val="en-US" w:eastAsia="zh-CN"/>
        </w:rPr>
        <w:t>年文体娱乐业扶持计划—高质量发展项目</w:t>
      </w:r>
      <w:r>
        <w:rPr>
          <w:rStyle w:val="11"/>
          <w:rFonts w:hint="eastAsia" w:ascii="方正小标宋简体" w:hAnsi="方正小标宋简体" w:eastAsia="方正小标宋简体" w:cs="方正小标宋简体"/>
          <w:b w:val="0"/>
          <w:i w:val="0"/>
          <w:kern w:val="0"/>
          <w:sz w:val="44"/>
          <w:szCs w:val="44"/>
          <w:highlight w:val="none"/>
          <w:lang w:val="en" w:eastAsia="zh-CN"/>
        </w:rPr>
        <w:t>申报指南</w:t>
      </w:r>
    </w:p>
    <w:bookmarkEnd w:id="0"/>
    <w:p w14:paraId="407A34B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p>
    <w:p w14:paraId="5AFCBF6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r>
        <w:rPr>
          <w:rStyle w:val="11"/>
          <w:rFonts w:hint="eastAsia" w:ascii="仿宋_GB2312" w:hAnsi="仿宋_GB2312" w:eastAsia="黑体" w:cs="仿宋_GB2312"/>
          <w:b w:val="0"/>
          <w:i w:val="0"/>
          <w:kern w:val="0"/>
          <w:sz w:val="32"/>
          <w:szCs w:val="32"/>
          <w:highlight w:val="none"/>
          <w:lang w:eastAsia="zh-CN"/>
        </w:rPr>
        <w:t>一、设定依据</w:t>
      </w:r>
    </w:p>
    <w:p w14:paraId="2198EF9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《关于促进文体娱乐业高质量发展的若干措施》（深文规〔202</w:t>
      </w:r>
      <w:r>
        <w:rPr>
          <w:rFonts w:hint="default" w:ascii="仿宋_GB2312" w:eastAsia="仿宋_GB2312" w:cs="Times New Roman"/>
          <w:kern w:val="2"/>
          <w:sz w:val="32"/>
          <w:szCs w:val="32"/>
          <w:highlight w:val="none"/>
          <w:lang w:val="en" w:eastAsia="zh-CN" w:bidi="ar-SA"/>
        </w:rPr>
        <w:t>4</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5</w:t>
      </w:r>
      <w:r>
        <w:rPr>
          <w:rFonts w:hint="eastAsia" w:ascii="仿宋_GB2312" w:hAnsi="Calibri" w:eastAsia="仿宋_GB2312" w:cs="Times New Roman"/>
          <w:kern w:val="2"/>
          <w:sz w:val="32"/>
          <w:szCs w:val="32"/>
          <w:highlight w:val="none"/>
          <w:lang w:val="en-US" w:eastAsia="zh-CN" w:bidi="ar-SA"/>
        </w:rPr>
        <w:t>号）</w:t>
      </w:r>
      <w:r>
        <w:rPr>
          <w:rFonts w:hint="eastAsia" w:ascii="仿宋_GB2312" w:eastAsia="仿宋_GB2312" w:cs="Times New Roman"/>
          <w:kern w:val="2"/>
          <w:sz w:val="32"/>
          <w:szCs w:val="32"/>
          <w:highlight w:val="none"/>
          <w:lang w:val="en-US" w:eastAsia="zh-CN" w:bidi="ar-SA"/>
        </w:rPr>
        <w:t>。</w:t>
      </w:r>
    </w:p>
    <w:p w14:paraId="70B16936">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r>
        <w:rPr>
          <w:rStyle w:val="11"/>
          <w:rFonts w:hint="eastAsia" w:ascii="仿宋_GB2312" w:hAnsi="仿宋_GB2312" w:eastAsia="黑体" w:cs="仿宋_GB2312"/>
          <w:b w:val="0"/>
          <w:i w:val="0"/>
          <w:kern w:val="0"/>
          <w:sz w:val="32"/>
          <w:szCs w:val="32"/>
          <w:highlight w:val="none"/>
          <w:lang w:eastAsia="zh-CN"/>
        </w:rPr>
        <w:t>二、支持对象</w:t>
      </w:r>
    </w:p>
    <w:p w14:paraId="4500828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pPr>
      <w:r>
        <w:rPr>
          <w:rFonts w:hint="eastAsia" w:ascii="仿宋_GB2312" w:hAnsi="Calibri" w:eastAsia="仿宋_GB2312" w:cs="Times New Roman"/>
          <w:kern w:val="2"/>
          <w:sz w:val="32"/>
          <w:szCs w:val="32"/>
          <w:highlight w:val="none"/>
          <w:lang w:val="en-US" w:eastAsia="zh-CN" w:bidi="ar-SA"/>
        </w:rPr>
        <w:t>本扶持计划资助对象是</w:t>
      </w:r>
      <w:r>
        <w:rPr>
          <w:rFonts w:hint="eastAsia" w:ascii="仿宋_GB2312" w:eastAsia="仿宋_GB2312"/>
          <w:sz w:val="32"/>
          <w:szCs w:val="32"/>
          <w:highlight w:val="none"/>
        </w:rPr>
        <w:t>在深圳市行政区域内</w:t>
      </w:r>
      <w:r>
        <w:rPr>
          <w:rFonts w:hint="eastAsia" w:ascii="仿宋_GB2312" w:hAnsi="Calibri" w:eastAsia="仿宋_GB2312" w:cs="Times New Roman"/>
          <w:kern w:val="2"/>
          <w:sz w:val="32"/>
          <w:szCs w:val="32"/>
          <w:highlight w:val="none"/>
          <w:lang w:val="en-US" w:eastAsia="zh-CN" w:bidi="ar-SA"/>
        </w:rPr>
        <w:t>从事</w:t>
      </w:r>
      <w:r>
        <w:rPr>
          <w:rFonts w:hint="eastAsia" w:ascii="仿宋_GB2312" w:eastAsia="仿宋_GB2312" w:cs="Times New Roman"/>
          <w:kern w:val="2"/>
          <w:sz w:val="32"/>
          <w:szCs w:val="32"/>
          <w:highlight w:val="none"/>
          <w:lang w:val="en-US" w:eastAsia="zh-CN" w:bidi="ar-SA"/>
        </w:rPr>
        <w:t>文化、体育和娱乐</w:t>
      </w:r>
      <w:r>
        <w:rPr>
          <w:rFonts w:hint="eastAsia" w:ascii="仿宋_GB2312" w:hAnsi="Calibri" w:eastAsia="仿宋_GB2312" w:cs="Times New Roman"/>
          <w:kern w:val="2"/>
          <w:sz w:val="32"/>
          <w:szCs w:val="32"/>
          <w:highlight w:val="none"/>
          <w:lang w:val="en-US" w:eastAsia="zh-CN" w:bidi="ar-SA"/>
        </w:rPr>
        <w:t>业</w:t>
      </w:r>
      <w:r>
        <w:rPr>
          <w:rFonts w:hint="eastAsia" w:ascii="仿宋_GB2312" w:eastAsia="仿宋_GB2312" w:cs="Times New Roman"/>
          <w:kern w:val="2"/>
          <w:sz w:val="32"/>
          <w:szCs w:val="32"/>
          <w:highlight w:val="none"/>
          <w:lang w:val="en-US" w:eastAsia="zh-CN" w:bidi="ar-SA"/>
        </w:rPr>
        <w:t>（</w:t>
      </w:r>
      <w:r>
        <w:rPr>
          <w:rFonts w:hint="default" w:ascii="仿宋_GB2312" w:eastAsia="仿宋_GB2312" w:cs="Times New Roman"/>
          <w:kern w:val="2"/>
          <w:sz w:val="32"/>
          <w:szCs w:val="32"/>
          <w:highlight w:val="none"/>
          <w:lang w:val="en" w:eastAsia="zh-CN" w:bidi="ar-SA"/>
        </w:rPr>
        <w:t>简称</w:t>
      </w:r>
      <w:r>
        <w:rPr>
          <w:rFonts w:hint="eastAsia" w:ascii="仿宋_GB2312" w:eastAsia="仿宋_GB2312" w:cs="Times New Roman"/>
          <w:kern w:val="2"/>
          <w:sz w:val="32"/>
          <w:szCs w:val="32"/>
          <w:highlight w:val="none"/>
          <w:lang w:val="en" w:eastAsia="zh-CN" w:bidi="ar-SA"/>
        </w:rPr>
        <w:t>“文体娱乐业”</w:t>
      </w:r>
      <w:r>
        <w:rPr>
          <w:rFonts w:hint="default" w:ascii="仿宋_GB2312" w:eastAsia="仿宋_GB2312" w:cs="Times New Roman"/>
          <w:kern w:val="2"/>
          <w:sz w:val="32"/>
          <w:szCs w:val="32"/>
          <w:highlight w:val="none"/>
          <w:lang w:val="en" w:eastAsia="zh-CN" w:bidi="ar-SA"/>
        </w:rPr>
        <w:t>，</w:t>
      </w:r>
      <w:r>
        <w:rPr>
          <w:rStyle w:val="11"/>
          <w:rFonts w:hint="eastAsia" w:ascii="仿宋_GB2312" w:hAnsi="仿宋_GB2312" w:eastAsia="仿宋_GB2312" w:cs="仿宋_GB2312"/>
          <w:i w:val="0"/>
          <w:caps w:val="0"/>
          <w:color w:val="auto"/>
          <w:spacing w:val="0"/>
          <w:kern w:val="0"/>
          <w:sz w:val="32"/>
          <w:szCs w:val="32"/>
          <w:highlight w:val="none"/>
          <w:shd w:val="clear" w:color="auto" w:fill="auto"/>
          <w:lang w:val="en-US" w:eastAsia="zh-CN" w:bidi="ar"/>
        </w:rPr>
        <w:t>主要包括新闻和出版业，广播、电视、电影和录音制作业，文化艺术业，体育，娱乐业等五大业态），并纳入全市文体娱乐业行业统计的企业。</w:t>
      </w:r>
    </w:p>
    <w:p w14:paraId="535FDE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eastAsia="zh-CN"/>
        </w:rPr>
      </w:pPr>
      <w:r>
        <w:rPr>
          <w:rStyle w:val="11"/>
          <w:rFonts w:hint="eastAsia" w:ascii="仿宋_GB2312" w:hAnsi="仿宋_GB2312" w:eastAsia="黑体" w:cs="仿宋_GB2312"/>
          <w:b w:val="0"/>
          <w:i w:val="0"/>
          <w:kern w:val="0"/>
          <w:sz w:val="32"/>
          <w:szCs w:val="32"/>
          <w:highlight w:val="none"/>
          <w:lang w:eastAsia="zh-CN"/>
        </w:rPr>
        <w:t>三、申报条件</w:t>
      </w:r>
    </w:p>
    <w:p w14:paraId="4BDB946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default" w:ascii="仿宋_GB2312" w:hAnsi="仿宋_GB2312" w:eastAsia="仿宋_GB2312" w:cs="仿宋_GB2312"/>
          <w:sz w:val="32"/>
          <w:szCs w:val="32"/>
          <w:highlight w:val="none"/>
          <w:lang w:val="en" w:eastAsia="zh-CN"/>
        </w:rPr>
        <w:t>（</w:t>
      </w:r>
      <w:r>
        <w:rPr>
          <w:rStyle w:val="11"/>
          <w:rFonts w:hint="eastAsia" w:ascii="仿宋_GB2312" w:hAnsi="仿宋_GB2312" w:eastAsia="仿宋_GB2312" w:cs="仿宋_GB2312"/>
          <w:sz w:val="32"/>
          <w:szCs w:val="32"/>
          <w:highlight w:val="none"/>
          <w:lang w:val="en" w:eastAsia="zh-CN"/>
        </w:rPr>
        <w:t>一</w:t>
      </w:r>
      <w:r>
        <w:rPr>
          <w:rStyle w:val="11"/>
          <w:rFonts w:hint="default" w:ascii="仿宋_GB2312" w:hAnsi="仿宋_GB2312" w:eastAsia="仿宋_GB2312" w:cs="仿宋_GB2312"/>
          <w:sz w:val="32"/>
          <w:szCs w:val="32"/>
          <w:highlight w:val="none"/>
          <w:lang w:val="en" w:eastAsia="zh-CN"/>
        </w:rPr>
        <w:t>）</w:t>
      </w:r>
      <w:r>
        <w:rPr>
          <w:rStyle w:val="11"/>
          <w:rFonts w:hint="eastAsia" w:ascii="仿宋_GB2312" w:hAnsi="仿宋_GB2312" w:eastAsia="仿宋_GB2312" w:cs="仿宋_GB2312"/>
          <w:sz w:val="32"/>
          <w:szCs w:val="32"/>
          <w:highlight w:val="none"/>
          <w:lang w:val="en" w:eastAsia="zh-CN"/>
        </w:rPr>
        <w:t>已纳入我市规模以上文体娱乐业企业库，</w:t>
      </w:r>
      <w:r>
        <w:rPr>
          <w:rStyle w:val="11"/>
          <w:rFonts w:hint="eastAsia" w:ascii="仿宋_GB2312" w:hAnsi="仿宋_GB2312" w:eastAsia="仿宋_GB2312" w:cs="仿宋_GB2312"/>
          <w:sz w:val="32"/>
          <w:szCs w:val="32"/>
          <w:highlight w:val="none"/>
          <w:lang w:val="en-US" w:eastAsia="zh-CN"/>
        </w:rPr>
        <w:t>202</w:t>
      </w:r>
      <w:r>
        <w:rPr>
          <w:rStyle w:val="11"/>
          <w:rFonts w:hint="default" w:ascii="仿宋_GB2312" w:hAnsi="仿宋_GB2312" w:eastAsia="仿宋_GB2312" w:cs="仿宋_GB2312"/>
          <w:sz w:val="32"/>
          <w:szCs w:val="32"/>
          <w:highlight w:val="none"/>
          <w:lang w:val="en-US" w:eastAsia="zh-CN"/>
        </w:rPr>
        <w:t>4</w:t>
      </w:r>
      <w:r>
        <w:rPr>
          <w:rStyle w:val="11"/>
          <w:rFonts w:hint="eastAsia" w:ascii="仿宋_GB2312" w:hAnsi="仿宋_GB2312" w:eastAsia="仿宋_GB2312" w:cs="仿宋_GB2312"/>
          <w:sz w:val="32"/>
          <w:szCs w:val="32"/>
          <w:highlight w:val="none"/>
          <w:lang w:val="en-US" w:eastAsia="zh-CN"/>
        </w:rPr>
        <w:t>年</w:t>
      </w:r>
      <w:r>
        <w:rPr>
          <w:rStyle w:val="11"/>
          <w:rFonts w:hint="default" w:ascii="仿宋_GB2312" w:hAnsi="仿宋_GB2312" w:eastAsia="仿宋_GB2312" w:cs="仿宋_GB2312"/>
          <w:sz w:val="32"/>
          <w:szCs w:val="32"/>
          <w:highlight w:val="none"/>
          <w:lang w:val="en" w:eastAsia="zh-CN"/>
        </w:rPr>
        <w:t>度营业收入</w:t>
      </w:r>
      <w:r>
        <w:rPr>
          <w:rStyle w:val="11"/>
          <w:rFonts w:hint="eastAsia" w:ascii="仿宋_GB2312" w:hAnsi="仿宋_GB2312" w:eastAsia="仿宋_GB2312" w:cs="仿宋_GB2312"/>
          <w:sz w:val="32"/>
          <w:szCs w:val="32"/>
          <w:highlight w:val="none"/>
          <w:lang w:val="en" w:eastAsia="zh-CN"/>
        </w:rPr>
        <w:t>超过</w:t>
      </w:r>
      <w:r>
        <w:rPr>
          <w:rStyle w:val="11"/>
          <w:rFonts w:hint="eastAsia" w:ascii="仿宋_GB2312" w:hAnsi="仿宋_GB2312" w:eastAsia="仿宋_GB2312" w:cs="仿宋_GB2312"/>
          <w:sz w:val="32"/>
          <w:szCs w:val="32"/>
          <w:highlight w:val="none"/>
          <w:lang w:val="en-US" w:eastAsia="zh-CN"/>
        </w:rPr>
        <w:t>1.4亿元且</w:t>
      </w:r>
      <w:r>
        <w:rPr>
          <w:rStyle w:val="11"/>
          <w:rFonts w:hint="default" w:ascii="仿宋_GB2312" w:hAnsi="仿宋_GB2312" w:eastAsia="仿宋_GB2312" w:cs="仿宋_GB2312"/>
          <w:sz w:val="32"/>
          <w:szCs w:val="32"/>
          <w:highlight w:val="none"/>
          <w:lang w:val="en" w:eastAsia="zh-CN"/>
        </w:rPr>
        <w:t>营业收入增速不低于</w:t>
      </w:r>
      <w:r>
        <w:rPr>
          <w:rStyle w:val="11"/>
          <w:rFonts w:hint="eastAsia" w:ascii="仿宋_GB2312" w:hAnsi="仿宋_GB2312" w:eastAsia="仿宋_GB2312" w:cs="仿宋_GB2312"/>
          <w:sz w:val="32"/>
          <w:szCs w:val="32"/>
          <w:highlight w:val="none"/>
          <w:lang w:val="en-US" w:eastAsia="zh-CN"/>
        </w:rPr>
        <w:t>11%</w:t>
      </w:r>
      <w:r>
        <w:rPr>
          <w:rStyle w:val="11"/>
          <w:rFonts w:hint="default" w:ascii="仿宋_GB2312" w:hAnsi="仿宋_GB2312" w:eastAsia="仿宋_GB2312" w:cs="仿宋_GB2312"/>
          <w:sz w:val="32"/>
          <w:szCs w:val="32"/>
          <w:highlight w:val="none"/>
          <w:lang w:val="en" w:eastAsia="zh-CN"/>
        </w:rPr>
        <w:t>，或</w:t>
      </w:r>
      <w:r>
        <w:rPr>
          <w:rStyle w:val="11"/>
          <w:rFonts w:hint="eastAsia" w:ascii="仿宋_GB2312" w:hAnsi="仿宋_GB2312" w:eastAsia="仿宋_GB2312" w:cs="仿宋_GB2312"/>
          <w:sz w:val="32"/>
          <w:szCs w:val="32"/>
          <w:highlight w:val="none"/>
          <w:lang w:val="en" w:eastAsia="zh-CN"/>
        </w:rPr>
        <w:t>营收不足</w:t>
      </w:r>
      <w:r>
        <w:rPr>
          <w:rStyle w:val="11"/>
          <w:rFonts w:hint="eastAsia" w:ascii="仿宋_GB2312" w:hAnsi="仿宋_GB2312" w:eastAsia="仿宋_GB2312" w:cs="仿宋_GB2312"/>
          <w:sz w:val="32"/>
          <w:szCs w:val="32"/>
          <w:highlight w:val="none"/>
          <w:lang w:val="en-US" w:eastAsia="zh-CN"/>
        </w:rPr>
        <w:t>1.4亿元，但年</w:t>
      </w:r>
      <w:r>
        <w:rPr>
          <w:rStyle w:val="11"/>
          <w:rFonts w:hint="default" w:ascii="仿宋_GB2312" w:hAnsi="仿宋_GB2312" w:eastAsia="仿宋_GB2312" w:cs="仿宋_GB2312"/>
          <w:sz w:val="32"/>
          <w:szCs w:val="32"/>
          <w:highlight w:val="none"/>
          <w:lang w:val="en" w:eastAsia="zh-CN"/>
        </w:rPr>
        <w:t>度营业收入增速超过100%的文体娱乐业企业。</w:t>
      </w:r>
    </w:p>
    <w:p w14:paraId="4F74DD7A">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（二）申报主体不存在重大违法违规行为，未被列为失信联合惩戒对象，无逾期未办理验收或验收未通过的财政资助项目。</w:t>
      </w:r>
    </w:p>
    <w:p w14:paraId="103BE3A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（三）申报主体提交的营业收入、纳税金额等经营指标数据客观真实，与纳入统计主管部门报表数据一致，不存在弄虚作假情况。</w:t>
      </w:r>
    </w:p>
    <w:p w14:paraId="22BD352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（四）按要求向市文化广电旅游体育局报送统计数据。</w:t>
      </w:r>
    </w:p>
    <w:p w14:paraId="52978F4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Style w:val="11"/>
          <w:rFonts w:hint="eastAsia" w:ascii="仿宋_GB2312" w:hAnsi="仿宋_GB2312" w:eastAsia="仿宋_GB2312" w:cs="仿宋_GB2312"/>
          <w:sz w:val="32"/>
          <w:szCs w:val="32"/>
          <w:highlight w:val="none"/>
          <w:lang w:val="en-US" w:eastAsia="zh-CN"/>
        </w:rPr>
        <w:t>（五）不存在就同一单位建设内容相同或部分相同的项目向市有关部门进行多头申报的情形。</w:t>
      </w:r>
    </w:p>
    <w:p w14:paraId="08B20F93">
      <w:pPr>
        <w:pStyle w:val="3"/>
        <w:numPr>
          <w:ilvl w:val="0"/>
          <w:numId w:val="0"/>
        </w:numPr>
        <w:spacing w:line="560" w:lineRule="exact"/>
        <w:ind w:firstLine="640" w:firstLineChars="200"/>
        <w:rPr>
          <w:rFonts w:hint="default"/>
          <w:highlight w:val="none"/>
          <w:lang w:val="en" w:eastAsia="zh-CN"/>
        </w:rPr>
      </w:pPr>
      <w:r>
        <w:rPr>
          <w:rStyle w:val="11"/>
          <w:rFonts w:hint="eastAsia" w:ascii="仿宋_GB2312" w:hAnsi="仿宋_GB2312" w:eastAsia="仿宋_GB2312" w:cs="仿宋_GB2312"/>
          <w:sz w:val="32"/>
          <w:szCs w:val="32"/>
          <w:highlight w:val="none"/>
          <w:lang w:val="en-US" w:eastAsia="zh-CN"/>
        </w:rPr>
        <w:t>（六）法律、法规、规章和上级行政机关规范性文件规定的其他条件。</w:t>
      </w:r>
    </w:p>
    <w:p w14:paraId="05FFE5B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黑体" w:cs="仿宋_GB2312"/>
          <w:b w:val="0"/>
          <w:i w:val="0"/>
          <w:kern w:val="0"/>
          <w:sz w:val="32"/>
          <w:szCs w:val="32"/>
          <w:highlight w:val="none"/>
          <w:lang w:val="en-US" w:eastAsia="zh-CN"/>
        </w:rPr>
      </w:pPr>
      <w:r>
        <w:rPr>
          <w:rStyle w:val="11"/>
          <w:rFonts w:hint="eastAsia" w:ascii="仿宋_GB2312" w:hAnsi="仿宋_GB2312" w:eastAsia="黑体" w:cs="仿宋_GB2312"/>
          <w:b w:val="0"/>
          <w:i w:val="0"/>
          <w:kern w:val="0"/>
          <w:sz w:val="32"/>
          <w:szCs w:val="32"/>
          <w:highlight w:val="none"/>
          <w:lang w:val="en-US" w:eastAsia="zh-CN"/>
        </w:rPr>
        <w:t>四、资助方式及标准</w:t>
      </w:r>
    </w:p>
    <w:p w14:paraId="3BF0B28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资助方式及数量：事后资助，</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数量限制</w:t>
      </w:r>
      <w:r>
        <w:rPr>
          <w:rFonts w:hint="eastAsia" w:ascii="仿宋_GB2312" w:eastAsia="仿宋_GB2312"/>
          <w:sz w:val="32"/>
          <w:szCs w:val="32"/>
          <w:highlight w:val="none"/>
          <w:lang w:eastAsia="zh-CN"/>
        </w:rPr>
        <w:t>。</w:t>
      </w:r>
    </w:p>
    <w:p w14:paraId="7596073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11"/>
          <w:rFonts w:hint="eastAsia" w:ascii="仿宋_GB2312" w:hAnsi="仿宋_GB2312" w:eastAsia="仿宋_GB2312" w:cs="仿宋_GB2312"/>
          <w:sz w:val="32"/>
          <w:szCs w:val="32"/>
          <w:highlight w:val="none"/>
          <w:lang w:val="en-US" w:eastAsia="zh-CN"/>
        </w:rPr>
      </w:pPr>
      <w:r>
        <w:rPr>
          <w:rFonts w:hint="eastAsia" w:ascii="仿宋_GB2312" w:eastAsia="仿宋_GB2312"/>
          <w:sz w:val="32"/>
          <w:szCs w:val="32"/>
          <w:highlight w:val="none"/>
          <w:lang w:val="en-US" w:eastAsia="zh-CN"/>
        </w:rPr>
        <w:t>2.资助标准：按企业202</w:t>
      </w:r>
      <w:r>
        <w:rPr>
          <w:rFonts w:hint="default" w:ascii="仿宋_GB2312" w:eastAsia="仿宋_GB2312"/>
          <w:sz w:val="32"/>
          <w:szCs w:val="32"/>
          <w:highlight w:val="none"/>
          <w:lang w:val="en-US" w:eastAsia="zh-CN"/>
        </w:rPr>
        <w:t>4</w:t>
      </w:r>
      <w:r>
        <w:rPr>
          <w:rFonts w:hint="eastAsia" w:ascii="仿宋_GB2312" w:eastAsia="仿宋_GB2312"/>
          <w:sz w:val="32"/>
          <w:szCs w:val="32"/>
          <w:highlight w:val="none"/>
          <w:lang w:val="en-US" w:eastAsia="zh-CN"/>
        </w:rPr>
        <w:t>年度营业收入增量的1%，给予最高100万元奖励。</w:t>
      </w:r>
    </w:p>
    <w:p w14:paraId="1745183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五、受理机关</w:t>
      </w:r>
    </w:p>
    <w:p w14:paraId="7512599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14:paraId="1819703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（二）受理时间：</w:t>
      </w:r>
    </w:p>
    <w:p w14:paraId="26061A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网上填报受理时间：</w:t>
      </w:r>
      <w:r>
        <w:rPr>
          <w:rFonts w:hint="eastAsia" w:ascii="仿宋_GB2312" w:eastAsia="仿宋_GB2312"/>
          <w:sz w:val="32"/>
          <w:szCs w:val="32"/>
          <w:highlight w:val="none"/>
          <w:lang w:eastAsia="zh-CN"/>
        </w:rPr>
        <w:t>即日起</w:t>
      </w:r>
      <w:r>
        <w:rPr>
          <w:rFonts w:hint="eastAsia" w:ascii="仿宋_GB2312" w:eastAsia="仿宋_GB2312"/>
          <w:sz w:val="32"/>
          <w:szCs w:val="32"/>
          <w:highlight w:val="none"/>
        </w:rPr>
        <w:t>至202</w:t>
      </w:r>
      <w:r>
        <w:rPr>
          <w:rFonts w:hint="default"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14:paraId="6DF3E26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w:t>
      </w:r>
      <w:r>
        <w:rPr>
          <w:rFonts w:hint="eastAsia" w:ascii="仿宋_GB2312" w:eastAsia="仿宋_GB2312"/>
          <w:sz w:val="32"/>
          <w:szCs w:val="32"/>
          <w:highlight w:val="none"/>
          <w:lang w:eastAsia="zh-CN"/>
        </w:rPr>
        <w:t>文化娱乐类</w:t>
      </w:r>
      <w:r>
        <w:rPr>
          <w:rFonts w:hint="eastAsia" w:ascii="仿宋_GB2312" w:eastAsia="仿宋_GB2312"/>
          <w:sz w:val="32"/>
          <w:szCs w:val="32"/>
          <w:highlight w:val="none"/>
        </w:rPr>
        <w:t>企业根据系统信息要求的时间和地点，按本指南第五项指引提交书面材料，逾期不予受理。</w:t>
      </w:r>
      <w:r>
        <w:rPr>
          <w:rFonts w:hint="eastAsia" w:ascii="仿宋_GB2312" w:eastAsia="仿宋_GB2312"/>
          <w:sz w:val="32"/>
          <w:szCs w:val="32"/>
          <w:highlight w:val="none"/>
          <w:lang w:eastAsia="zh-CN"/>
        </w:rPr>
        <w:t>通过初审的体育企业，按</w:t>
      </w:r>
      <w:r>
        <w:rPr>
          <w:rFonts w:hint="eastAsia" w:ascii="仿宋_GB2312" w:eastAsia="仿宋_GB2312"/>
          <w:sz w:val="32"/>
          <w:szCs w:val="32"/>
          <w:highlight w:val="none"/>
        </w:rPr>
        <w:t>深圳市文化广电旅游体育局</w:t>
      </w:r>
      <w:r>
        <w:rPr>
          <w:rFonts w:hint="eastAsia" w:ascii="仿宋_GB2312" w:eastAsia="仿宋_GB2312"/>
          <w:sz w:val="32"/>
          <w:szCs w:val="32"/>
          <w:highlight w:val="none"/>
          <w:lang w:eastAsia="zh-CN"/>
        </w:rPr>
        <w:t>政务网发布的书面审查通知提交书面资料。</w:t>
      </w:r>
    </w:p>
    <w:p w14:paraId="68014A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仿宋_GB2312">
    <w:altName w:val="仿宋"/>
    <w:panose1 w:val="02010609030101010101"/>
    <w:charset w:val="00"/>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4D43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75B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F75B51">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5E85"/>
    <w:rsid w:val="18FF523B"/>
    <w:rsid w:val="19A5077F"/>
    <w:rsid w:val="1CFB70A1"/>
    <w:rsid w:val="1DFF7F43"/>
    <w:rsid w:val="1F9FB616"/>
    <w:rsid w:val="258F8D1D"/>
    <w:rsid w:val="25CDFC13"/>
    <w:rsid w:val="33F328E7"/>
    <w:rsid w:val="36563753"/>
    <w:rsid w:val="379ACAA5"/>
    <w:rsid w:val="37FE8D4B"/>
    <w:rsid w:val="38FF5F09"/>
    <w:rsid w:val="39F616C5"/>
    <w:rsid w:val="3DBB70A6"/>
    <w:rsid w:val="3EFC1FCC"/>
    <w:rsid w:val="3F17FE53"/>
    <w:rsid w:val="3F6BF1CB"/>
    <w:rsid w:val="3FDE294C"/>
    <w:rsid w:val="42E714D3"/>
    <w:rsid w:val="437FB38F"/>
    <w:rsid w:val="49205E21"/>
    <w:rsid w:val="4FFBD54E"/>
    <w:rsid w:val="521F0134"/>
    <w:rsid w:val="53F3C58A"/>
    <w:rsid w:val="59F2E42B"/>
    <w:rsid w:val="5CDE9FD9"/>
    <w:rsid w:val="5DFF4246"/>
    <w:rsid w:val="5E3628F0"/>
    <w:rsid w:val="5EDBFFE5"/>
    <w:rsid w:val="5EFBCB3F"/>
    <w:rsid w:val="5F7B84CD"/>
    <w:rsid w:val="5FA6F5FB"/>
    <w:rsid w:val="5FD4B0AF"/>
    <w:rsid w:val="5FF7ED57"/>
    <w:rsid w:val="5FFDB111"/>
    <w:rsid w:val="66972A13"/>
    <w:rsid w:val="67BD2B5D"/>
    <w:rsid w:val="67FC19B5"/>
    <w:rsid w:val="69EDA8B5"/>
    <w:rsid w:val="6B474966"/>
    <w:rsid w:val="6DBDB491"/>
    <w:rsid w:val="6EED7873"/>
    <w:rsid w:val="6FB7D5D9"/>
    <w:rsid w:val="6FED5D98"/>
    <w:rsid w:val="6FFE43B9"/>
    <w:rsid w:val="717FF5C4"/>
    <w:rsid w:val="75EF729E"/>
    <w:rsid w:val="76BE6CDC"/>
    <w:rsid w:val="76FE96A8"/>
    <w:rsid w:val="77DD264B"/>
    <w:rsid w:val="77EF0591"/>
    <w:rsid w:val="77EF6916"/>
    <w:rsid w:val="77FE846F"/>
    <w:rsid w:val="785D76F9"/>
    <w:rsid w:val="79726ECB"/>
    <w:rsid w:val="797F6E63"/>
    <w:rsid w:val="79F739F3"/>
    <w:rsid w:val="79FF4656"/>
    <w:rsid w:val="7A4EA245"/>
    <w:rsid w:val="7AFF3D1F"/>
    <w:rsid w:val="7B5B16AE"/>
    <w:rsid w:val="7BE5A19D"/>
    <w:rsid w:val="7C1ECD05"/>
    <w:rsid w:val="7CBC93D7"/>
    <w:rsid w:val="7D7FE791"/>
    <w:rsid w:val="7DE39E29"/>
    <w:rsid w:val="7DFDC128"/>
    <w:rsid w:val="7EDF3F8E"/>
    <w:rsid w:val="7EF95E85"/>
    <w:rsid w:val="7F37F3CF"/>
    <w:rsid w:val="7F669F27"/>
    <w:rsid w:val="7F7F13E3"/>
    <w:rsid w:val="7F962E62"/>
    <w:rsid w:val="7F9DB09D"/>
    <w:rsid w:val="7FD7FF72"/>
    <w:rsid w:val="7FDD9228"/>
    <w:rsid w:val="7FDF1966"/>
    <w:rsid w:val="7FEE16AF"/>
    <w:rsid w:val="7FEE4DC7"/>
    <w:rsid w:val="7FEE5C6E"/>
    <w:rsid w:val="7FEF6D93"/>
    <w:rsid w:val="7FFF3C5F"/>
    <w:rsid w:val="8736BEF2"/>
    <w:rsid w:val="87F85757"/>
    <w:rsid w:val="947E7EE3"/>
    <w:rsid w:val="9F82D9F5"/>
    <w:rsid w:val="9FA6D56F"/>
    <w:rsid w:val="9FEDBD24"/>
    <w:rsid w:val="AFAF65F3"/>
    <w:rsid w:val="AFC7D191"/>
    <w:rsid w:val="AFFEBAF2"/>
    <w:rsid w:val="B3F7EECB"/>
    <w:rsid w:val="B63F4013"/>
    <w:rsid w:val="B65FECE6"/>
    <w:rsid w:val="B76D84AB"/>
    <w:rsid w:val="B7BE2298"/>
    <w:rsid w:val="B7FB4E72"/>
    <w:rsid w:val="BDDFBEFA"/>
    <w:rsid w:val="BE72BFAA"/>
    <w:rsid w:val="BE78E449"/>
    <w:rsid w:val="BF77EE39"/>
    <w:rsid w:val="BFB53301"/>
    <w:rsid w:val="BFF33E35"/>
    <w:rsid w:val="BFF3CE81"/>
    <w:rsid w:val="BFFE0949"/>
    <w:rsid w:val="CDFFD468"/>
    <w:rsid w:val="CFFDB4B7"/>
    <w:rsid w:val="D0FF0B7F"/>
    <w:rsid w:val="D5BB9F0F"/>
    <w:rsid w:val="D5D6F3E0"/>
    <w:rsid w:val="D6DD0B1C"/>
    <w:rsid w:val="D75DE976"/>
    <w:rsid w:val="DC9F03EA"/>
    <w:rsid w:val="DD98C7C9"/>
    <w:rsid w:val="DD9FFCC7"/>
    <w:rsid w:val="DDDFB8C9"/>
    <w:rsid w:val="DFEEFA8E"/>
    <w:rsid w:val="DFF32F75"/>
    <w:rsid w:val="DFFFFC3B"/>
    <w:rsid w:val="E33F2918"/>
    <w:rsid w:val="E3FEE979"/>
    <w:rsid w:val="E5FF8B7B"/>
    <w:rsid w:val="E7FDE10B"/>
    <w:rsid w:val="E9C3AF28"/>
    <w:rsid w:val="E9D2D723"/>
    <w:rsid w:val="EBFE6114"/>
    <w:rsid w:val="ED5FBFAA"/>
    <w:rsid w:val="ED9F7B0D"/>
    <w:rsid w:val="EDFCB915"/>
    <w:rsid w:val="EF77D107"/>
    <w:rsid w:val="EFAC2EC8"/>
    <w:rsid w:val="EFE7E598"/>
    <w:rsid w:val="EFF7FE0C"/>
    <w:rsid w:val="F377B9C9"/>
    <w:rsid w:val="F3CF2296"/>
    <w:rsid w:val="F7BB7BC7"/>
    <w:rsid w:val="F7BC199E"/>
    <w:rsid w:val="F7EBFB85"/>
    <w:rsid w:val="F9372118"/>
    <w:rsid w:val="FB35227C"/>
    <w:rsid w:val="FBBE8723"/>
    <w:rsid w:val="FBDFDDEC"/>
    <w:rsid w:val="FBED4062"/>
    <w:rsid w:val="FBFF4AB3"/>
    <w:rsid w:val="FD6E8216"/>
    <w:rsid w:val="FD791F38"/>
    <w:rsid w:val="FDB785A3"/>
    <w:rsid w:val="FDECB49B"/>
    <w:rsid w:val="FDEF2999"/>
    <w:rsid w:val="FE7B98F7"/>
    <w:rsid w:val="FEBDF9FB"/>
    <w:rsid w:val="FF3FB0B7"/>
    <w:rsid w:val="FF5BAF1F"/>
    <w:rsid w:val="FF6F625C"/>
    <w:rsid w:val="FF753685"/>
    <w:rsid w:val="FF76F5ED"/>
    <w:rsid w:val="FF772411"/>
    <w:rsid w:val="FFA8B533"/>
    <w:rsid w:val="FFBDC918"/>
    <w:rsid w:val="FFDC138E"/>
    <w:rsid w:val="FFEFDA0B"/>
    <w:rsid w:val="FFF2ABC2"/>
    <w:rsid w:val="FFF34C63"/>
    <w:rsid w:val="FFFF4D54"/>
    <w:rsid w:val="FFFFCC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3"/>
    <w:next w:val="3"/>
    <w:qFormat/>
    <w:uiPriority w:val="9"/>
    <w:pPr>
      <w:keepNext w:val="0"/>
      <w:keepLines w:val="0"/>
      <w:spacing w:beforeLines="0" w:beforeAutospacing="0" w:afterLines="0" w:afterAutospacing="0" w:line="560" w:lineRule="exact"/>
      <w:ind w:firstLine="640" w:firstLineChars="200"/>
      <w:jc w:val="both"/>
      <w:outlineLvl w:val="2"/>
    </w:pPr>
    <w:rPr>
      <w:rFonts w:ascii="楷体_GB2312" w:hAnsi="楷体_GB2312" w:eastAsia="楷体_GB2312" w:cs="Times New Roma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3"/>
    <w:next w:val="4"/>
    <w:unhideWhenUsed/>
    <w:qFormat/>
    <w:uiPriority w:val="99"/>
    <w:pPr>
      <w:ind w:firstLine="420" w:firstLineChars="200"/>
    </w:pPr>
  </w:style>
  <w:style w:type="paragraph" w:customStyle="1" w:styleId="3">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6">
    <w:name w:val="Body Text"/>
    <w:basedOn w:val="3"/>
    <w:qFormat/>
    <w:uiPriority w:val="3"/>
    <w:pPr>
      <w:spacing w:line="540" w:lineRule="exact"/>
      <w:jc w:val="left"/>
    </w:pPr>
    <w:rPr>
      <w:rFonts w:ascii="楷体_GB2312" w:hAnsi="Times New Roman" w:eastAsia="楷体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2028</Words>
  <Characters>2295</Characters>
  <Lines>0</Lines>
  <Paragraphs>0</Paragraphs>
  <TotalTime>3</TotalTime>
  <ScaleCrop>false</ScaleCrop>
  <LinksUpToDate>false</LinksUpToDate>
  <CharactersWithSpaces>2295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2024-03-10T09:06:00Z</dcterms:created>
  <dc:creator>余</dc:creator>
  <cp:lastModifiedBy>姬艳丽</cp:lastModifiedBy>
  <cp:lastPrinted>2024-03-26T23:14:00Z</cp:lastPrinted>
  <dcterms:modified xsi:type="dcterms:W3CDTF">2025-09-26T09:33:46Z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9B754593F503485BBED02D77AC880B9D_13</vt:lpwstr>
  </property>
  <property fmtid="{D5CDD505-2E9C-101B-9397-08002B2CF9AE}" pid="4" name="KSOTemplateDocerSaveRecord">
    <vt:lpwstr>eyJoZGlkIjoiYzhjOTg1YTM1NDNjZTllMjg3ZThiYjM3ZjVmNjg5ZTgiLCJ1c2VySWQiOiIxNDQzNjAzNzU3In0=</vt:lpwstr>
  </property>
</Properties>
</file>