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AD85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Style w:val="11"/>
          <w:rFonts w:hint="eastAsia" w:ascii="仿宋_GB2312" w:hAnsi="仿宋_GB2312" w:eastAsia="黑体" w:cs="仿宋_GB2312"/>
          <w:b w:val="0"/>
          <w:i w:val="0"/>
          <w:color w:val="auto"/>
          <w:kern w:val="0"/>
          <w:sz w:val="32"/>
          <w:szCs w:val="32"/>
          <w:highlight w:val="none"/>
          <w:lang w:val="en-US" w:eastAsia="zh-CN"/>
        </w:rPr>
      </w:pPr>
      <w:r>
        <w:rPr>
          <w:rStyle w:val="11"/>
          <w:rFonts w:hint="eastAsia" w:ascii="仿宋_GB2312" w:hAnsi="仿宋_GB2312" w:eastAsia="黑体" w:cs="仿宋_GB2312"/>
          <w:b w:val="0"/>
          <w:i w:val="0"/>
          <w:color w:val="auto"/>
          <w:kern w:val="0"/>
          <w:sz w:val="32"/>
          <w:szCs w:val="32"/>
          <w:highlight w:val="none"/>
          <w:lang w:val="en-US" w:eastAsia="zh-CN"/>
        </w:rPr>
        <w:t>附件</w:t>
      </w:r>
      <w:r>
        <w:rPr>
          <w:rStyle w:val="11"/>
          <w:rFonts w:hint="eastAsia" w:ascii="方正黑体_GBK" w:hAnsi="方正黑体_GBK" w:eastAsia="方正黑体_GBK" w:cs="方正黑体_GBK"/>
          <w:b w:val="0"/>
          <w:i w:val="0"/>
          <w:color w:val="auto"/>
          <w:kern w:val="0"/>
          <w:sz w:val="32"/>
          <w:szCs w:val="32"/>
          <w:highlight w:val="none"/>
          <w:lang w:val="en-US" w:eastAsia="zh-CN"/>
        </w:rPr>
        <w:t>1</w:t>
      </w:r>
    </w:p>
    <w:p w14:paraId="6AFD2453">
      <w:pPr>
        <w:pStyle w:val="2"/>
        <w:spacing w:line="560" w:lineRule="exact"/>
        <w:ind w:firstLine="0" w:firstLineChars="0"/>
        <w:rPr>
          <w:rFonts w:hint="eastAsia"/>
          <w:color w:val="auto"/>
          <w:highlight w:val="none"/>
          <w:lang w:val="en-US" w:eastAsia="zh-CN"/>
        </w:rPr>
      </w:pPr>
    </w:p>
    <w:p w14:paraId="35DD774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1"/>
          <w:rFonts w:hint="eastAsia" w:ascii="方正小标宋简体" w:hAnsi="方正小标宋简体" w:eastAsia="方正小标宋简体" w:cs="方正小标宋简体"/>
          <w:b w:val="0"/>
          <w:i w:val="0"/>
          <w:color w:val="auto"/>
          <w:kern w:val="0"/>
          <w:sz w:val="44"/>
          <w:szCs w:val="44"/>
          <w:highlight w:val="none"/>
          <w:lang w:val="en" w:eastAsia="zh-CN"/>
        </w:rPr>
      </w:pPr>
      <w:r>
        <w:rPr>
          <w:rStyle w:val="11"/>
          <w:rFonts w:hint="eastAsia" w:ascii="方正小标宋简体" w:hAnsi="方正小标宋简体" w:eastAsia="方正小标宋简体" w:cs="方正小标宋简体"/>
          <w:b w:val="0"/>
          <w:i w:val="0"/>
          <w:color w:val="auto"/>
          <w:kern w:val="0"/>
          <w:sz w:val="44"/>
          <w:szCs w:val="44"/>
          <w:highlight w:val="none"/>
          <w:lang w:val="en-US" w:eastAsia="zh-CN"/>
        </w:rPr>
        <w:t>202</w:t>
      </w:r>
      <w:r>
        <w:rPr>
          <w:rStyle w:val="11"/>
          <w:rFonts w:hint="default" w:ascii="方正小标宋简体" w:hAnsi="方正小标宋简体" w:eastAsia="方正小标宋简体" w:cs="方正小标宋简体"/>
          <w:b w:val="0"/>
          <w:i w:val="0"/>
          <w:color w:val="auto"/>
          <w:kern w:val="0"/>
          <w:sz w:val="44"/>
          <w:szCs w:val="44"/>
          <w:highlight w:val="none"/>
          <w:lang w:val="en-US" w:eastAsia="zh-CN"/>
        </w:rPr>
        <w:t>5</w:t>
      </w:r>
      <w:r>
        <w:rPr>
          <w:rStyle w:val="11"/>
          <w:rFonts w:hint="eastAsia" w:ascii="方正小标宋简体" w:hAnsi="方正小标宋简体" w:eastAsia="方正小标宋简体" w:cs="方正小标宋简体"/>
          <w:b w:val="0"/>
          <w:i w:val="0"/>
          <w:color w:val="auto"/>
          <w:kern w:val="0"/>
          <w:sz w:val="44"/>
          <w:szCs w:val="44"/>
          <w:highlight w:val="none"/>
          <w:lang w:val="en-US" w:eastAsia="zh-CN"/>
        </w:rPr>
        <w:t>年文体娱乐业扶持计划—纳统升规资助项目</w:t>
      </w:r>
      <w:r>
        <w:rPr>
          <w:rStyle w:val="11"/>
          <w:rFonts w:hint="eastAsia" w:ascii="方正小标宋简体" w:hAnsi="方正小标宋简体" w:eastAsia="方正小标宋简体" w:cs="方正小标宋简体"/>
          <w:b w:val="0"/>
          <w:i w:val="0"/>
          <w:color w:val="auto"/>
          <w:kern w:val="0"/>
          <w:sz w:val="44"/>
          <w:szCs w:val="44"/>
          <w:highlight w:val="none"/>
          <w:lang w:val="en" w:eastAsia="zh-CN"/>
        </w:rPr>
        <w:t>申报指南</w:t>
      </w:r>
    </w:p>
    <w:p w14:paraId="17185A6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p>
    <w:p w14:paraId="6B6E37F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r>
        <w:rPr>
          <w:rStyle w:val="11"/>
          <w:rFonts w:hint="eastAsia" w:ascii="仿宋_GB2312" w:hAnsi="仿宋_GB2312" w:eastAsia="黑体" w:cs="仿宋_GB2312"/>
          <w:b w:val="0"/>
          <w:i w:val="0"/>
          <w:color w:val="auto"/>
          <w:kern w:val="0"/>
          <w:sz w:val="32"/>
          <w:szCs w:val="32"/>
          <w:highlight w:val="none"/>
          <w:lang w:eastAsia="zh-CN"/>
        </w:rPr>
        <w:t>一、设定依据</w:t>
      </w:r>
      <w:bookmarkStart w:id="0" w:name="_GoBack"/>
      <w:bookmarkEnd w:id="0"/>
    </w:p>
    <w:p w14:paraId="77BDC41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《关于促进文体娱乐业高质量发展的若干措施》（深文规〔202</w:t>
      </w:r>
      <w:r>
        <w:rPr>
          <w:rFonts w:hint="default" w:ascii="仿宋_GB2312" w:eastAsia="仿宋_GB2312" w:cs="Times New Roman"/>
          <w:color w:val="auto"/>
          <w:kern w:val="2"/>
          <w:sz w:val="32"/>
          <w:szCs w:val="32"/>
          <w:highlight w:val="none"/>
          <w:lang w:val="en" w:eastAsia="zh-CN" w:bidi="ar-SA"/>
        </w:rPr>
        <w:t>4</w:t>
      </w:r>
      <w:r>
        <w:rPr>
          <w:rFonts w:hint="eastAsia" w:ascii="仿宋_GB2312" w:hAnsi="Calibri"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5</w:t>
      </w:r>
      <w:r>
        <w:rPr>
          <w:rFonts w:hint="eastAsia" w:ascii="仿宋_GB2312" w:hAnsi="Calibri" w:eastAsia="仿宋_GB2312" w:cs="Times New Roman"/>
          <w:color w:val="auto"/>
          <w:kern w:val="2"/>
          <w:sz w:val="32"/>
          <w:szCs w:val="32"/>
          <w:highlight w:val="none"/>
          <w:lang w:val="en-US" w:eastAsia="zh-CN" w:bidi="ar-SA"/>
        </w:rPr>
        <w:t>号）</w:t>
      </w:r>
      <w:r>
        <w:rPr>
          <w:rFonts w:hint="eastAsia" w:ascii="仿宋_GB2312" w:eastAsia="仿宋_GB2312" w:cs="Times New Roman"/>
          <w:color w:val="auto"/>
          <w:kern w:val="2"/>
          <w:sz w:val="32"/>
          <w:szCs w:val="32"/>
          <w:highlight w:val="none"/>
          <w:lang w:val="en-US" w:eastAsia="zh-CN" w:bidi="ar-SA"/>
        </w:rPr>
        <w:t>。</w:t>
      </w:r>
    </w:p>
    <w:p w14:paraId="73B5AD1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r>
        <w:rPr>
          <w:rStyle w:val="11"/>
          <w:rFonts w:hint="eastAsia" w:ascii="仿宋_GB2312" w:hAnsi="仿宋_GB2312" w:eastAsia="黑体" w:cs="仿宋_GB2312"/>
          <w:b w:val="0"/>
          <w:i w:val="0"/>
          <w:color w:val="auto"/>
          <w:kern w:val="0"/>
          <w:sz w:val="32"/>
          <w:szCs w:val="32"/>
          <w:highlight w:val="none"/>
          <w:lang w:eastAsia="zh-CN"/>
        </w:rPr>
        <w:t>二、支持对象</w:t>
      </w:r>
    </w:p>
    <w:p w14:paraId="7831799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本扶持计划资助对象是在深圳市行政区域内从事文化、体育和娱乐业（简称“文体娱乐业”，主要包括新闻和出版业，广播、电视、电影和录音制作业，文化艺术业，体育，娱乐业等五大业态），并纳入全市文体娱乐业行业统计的企业</w:t>
      </w:r>
      <w:r>
        <w:rPr>
          <w:rStyle w:val="11"/>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w:t>
      </w:r>
    </w:p>
    <w:p w14:paraId="502E57D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r>
        <w:rPr>
          <w:rStyle w:val="11"/>
          <w:rFonts w:hint="eastAsia" w:ascii="仿宋_GB2312" w:hAnsi="仿宋_GB2312" w:eastAsia="黑体" w:cs="仿宋_GB2312"/>
          <w:b w:val="0"/>
          <w:i w:val="0"/>
          <w:color w:val="auto"/>
          <w:kern w:val="0"/>
          <w:sz w:val="32"/>
          <w:szCs w:val="32"/>
          <w:highlight w:val="none"/>
          <w:lang w:eastAsia="zh-CN"/>
        </w:rPr>
        <w:t>三、申报条件</w:t>
      </w:r>
    </w:p>
    <w:p w14:paraId="3BE2E12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default" w:ascii="仿宋_GB2312" w:hAnsi="仿宋_GB2312" w:eastAsia="仿宋_GB2312" w:cs="仿宋_GB2312"/>
          <w:color w:val="auto"/>
          <w:sz w:val="32"/>
          <w:szCs w:val="32"/>
          <w:highlight w:val="none"/>
          <w:lang w:val="en" w:eastAsia="zh-CN"/>
        </w:rPr>
        <w:t>（</w:t>
      </w:r>
      <w:r>
        <w:rPr>
          <w:rStyle w:val="11"/>
          <w:rFonts w:hint="eastAsia" w:ascii="仿宋_GB2312" w:hAnsi="仿宋_GB2312" w:eastAsia="仿宋_GB2312" w:cs="仿宋_GB2312"/>
          <w:color w:val="auto"/>
          <w:sz w:val="32"/>
          <w:szCs w:val="32"/>
          <w:highlight w:val="none"/>
          <w:lang w:val="en" w:eastAsia="zh-CN"/>
        </w:rPr>
        <w:t>一</w:t>
      </w:r>
      <w:r>
        <w:rPr>
          <w:rStyle w:val="11"/>
          <w:rFonts w:hint="default" w:ascii="仿宋_GB2312" w:hAnsi="仿宋_GB2312" w:eastAsia="仿宋_GB2312" w:cs="仿宋_GB2312"/>
          <w:color w:val="auto"/>
          <w:sz w:val="32"/>
          <w:szCs w:val="32"/>
          <w:highlight w:val="none"/>
          <w:lang w:val="en" w:eastAsia="zh-CN"/>
        </w:rPr>
        <w:t>）</w:t>
      </w:r>
      <w:r>
        <w:rPr>
          <w:rStyle w:val="11"/>
          <w:rFonts w:hint="eastAsia" w:ascii="仿宋_GB2312" w:hAnsi="仿宋_GB2312" w:eastAsia="仿宋_GB2312" w:cs="仿宋_GB2312"/>
          <w:color w:val="auto"/>
          <w:sz w:val="32"/>
          <w:szCs w:val="32"/>
          <w:highlight w:val="none"/>
          <w:lang w:val="en-US" w:eastAsia="zh-CN"/>
        </w:rPr>
        <w:t>202</w:t>
      </w:r>
      <w:r>
        <w:rPr>
          <w:rStyle w:val="11"/>
          <w:rFonts w:hint="default" w:ascii="仿宋_GB2312" w:hAnsi="仿宋_GB2312" w:eastAsia="仿宋_GB2312" w:cs="仿宋_GB2312"/>
          <w:color w:val="auto"/>
          <w:sz w:val="32"/>
          <w:szCs w:val="32"/>
          <w:highlight w:val="none"/>
          <w:lang w:val="en-US" w:eastAsia="zh-CN"/>
        </w:rPr>
        <w:t>4</w:t>
      </w:r>
      <w:r>
        <w:rPr>
          <w:rStyle w:val="11"/>
          <w:rFonts w:hint="eastAsia" w:ascii="仿宋_GB2312" w:hAnsi="仿宋_GB2312" w:eastAsia="仿宋_GB2312" w:cs="仿宋_GB2312"/>
          <w:color w:val="auto"/>
          <w:sz w:val="32"/>
          <w:szCs w:val="32"/>
          <w:highlight w:val="none"/>
          <w:lang w:val="en-US" w:eastAsia="zh-CN"/>
        </w:rPr>
        <w:t>年3月1日至202</w:t>
      </w:r>
      <w:r>
        <w:rPr>
          <w:rStyle w:val="11"/>
          <w:rFonts w:hint="default" w:ascii="仿宋_GB2312" w:hAnsi="仿宋_GB2312" w:eastAsia="仿宋_GB2312" w:cs="仿宋_GB2312"/>
          <w:color w:val="auto"/>
          <w:sz w:val="32"/>
          <w:szCs w:val="32"/>
          <w:highlight w:val="none"/>
          <w:lang w:val="en-US" w:eastAsia="zh-CN"/>
        </w:rPr>
        <w:t>5</w:t>
      </w:r>
      <w:r>
        <w:rPr>
          <w:rStyle w:val="11"/>
          <w:rFonts w:hint="eastAsia" w:ascii="仿宋_GB2312" w:hAnsi="仿宋_GB2312" w:eastAsia="仿宋_GB2312" w:cs="仿宋_GB2312"/>
          <w:color w:val="auto"/>
          <w:sz w:val="32"/>
          <w:szCs w:val="32"/>
          <w:highlight w:val="none"/>
          <w:lang w:val="en-US" w:eastAsia="zh-CN"/>
        </w:rPr>
        <w:t>年2月2</w:t>
      </w:r>
      <w:r>
        <w:rPr>
          <w:rStyle w:val="11"/>
          <w:rFonts w:hint="default" w:ascii="仿宋_GB2312" w:hAnsi="仿宋_GB2312" w:eastAsia="仿宋_GB2312" w:cs="仿宋_GB2312"/>
          <w:color w:val="auto"/>
          <w:sz w:val="32"/>
          <w:szCs w:val="32"/>
          <w:highlight w:val="none"/>
          <w:lang w:val="en-US" w:eastAsia="zh-CN"/>
        </w:rPr>
        <w:t>8</w:t>
      </w:r>
      <w:r>
        <w:rPr>
          <w:rStyle w:val="11"/>
          <w:rFonts w:hint="eastAsia" w:ascii="仿宋_GB2312" w:hAnsi="仿宋_GB2312" w:eastAsia="仿宋_GB2312" w:cs="仿宋_GB2312"/>
          <w:color w:val="auto"/>
          <w:sz w:val="32"/>
          <w:szCs w:val="32"/>
          <w:highlight w:val="none"/>
          <w:lang w:val="en-US" w:eastAsia="zh-CN"/>
        </w:rPr>
        <w:t>日首次纳入规模以上文体娱乐业统计，并在统计联网直报平台上填报统计报表的企业（不包括退统再纳统的企业）</w:t>
      </w:r>
      <w:r>
        <w:rPr>
          <w:rStyle w:val="11"/>
          <w:rFonts w:hint="eastAsia" w:ascii="仿宋_GB2312" w:hAnsi="仿宋_GB2312" w:eastAsia="仿宋_GB2312" w:cs="仿宋_GB2312"/>
          <w:color w:val="auto"/>
          <w:sz w:val="32"/>
          <w:szCs w:val="32"/>
          <w:highlight w:val="none"/>
          <w:lang w:val="en" w:eastAsia="zh-CN"/>
        </w:rPr>
        <w:t>。</w:t>
      </w:r>
    </w:p>
    <w:p w14:paraId="79EC0DD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（二）申报主体不存在重大违法违规行为，未被列为失信联合惩戒对象，无逾期未办理验收或验收未通过的财政资助项目。</w:t>
      </w:r>
    </w:p>
    <w:p w14:paraId="29F4C4A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（三）申报主体提交的营业收入、纳税金额等经营指标数据客观真实，与纳入统计主管部门报表数据一致，不存在弄虚作假情况。</w:t>
      </w:r>
    </w:p>
    <w:p w14:paraId="7734A98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（四）按要求向市文化广电旅游体育局报送统计数据。</w:t>
      </w:r>
    </w:p>
    <w:p w14:paraId="7590136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（五）不存在就同一单位建设内容相同或部分相同的项目向市有关部门进行多头申报的情形。</w:t>
      </w:r>
    </w:p>
    <w:p w14:paraId="70123479">
      <w:pPr>
        <w:pStyle w:val="3"/>
        <w:numPr>
          <w:ilvl w:val="0"/>
          <w:numId w:val="0"/>
        </w:numPr>
        <w:spacing w:line="560" w:lineRule="exact"/>
        <w:ind w:firstLine="640" w:firstLineChars="200"/>
        <w:rPr>
          <w:rFonts w:hint="default"/>
          <w:color w:val="auto"/>
          <w:highlight w:val="none"/>
          <w:lang w:val="en" w:eastAsia="zh-CN"/>
        </w:rPr>
      </w:pPr>
      <w:r>
        <w:rPr>
          <w:rStyle w:val="11"/>
          <w:rFonts w:hint="eastAsia" w:ascii="仿宋_GB2312" w:hAnsi="仿宋_GB2312" w:eastAsia="仿宋_GB2312" w:cs="仿宋_GB2312"/>
          <w:color w:val="auto"/>
          <w:sz w:val="32"/>
          <w:szCs w:val="32"/>
          <w:highlight w:val="none"/>
          <w:lang w:val="en-US" w:eastAsia="zh-CN"/>
        </w:rPr>
        <w:t>（六）法律、法规、规章和上级行政机关规范性文件规定的其他条件。</w:t>
      </w:r>
    </w:p>
    <w:p w14:paraId="06DDA29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val="en-US" w:eastAsia="zh-CN"/>
        </w:rPr>
      </w:pPr>
      <w:r>
        <w:rPr>
          <w:rStyle w:val="11"/>
          <w:rFonts w:hint="eastAsia" w:ascii="仿宋_GB2312" w:hAnsi="仿宋_GB2312" w:eastAsia="黑体" w:cs="仿宋_GB2312"/>
          <w:b w:val="0"/>
          <w:i w:val="0"/>
          <w:color w:val="auto"/>
          <w:kern w:val="0"/>
          <w:sz w:val="32"/>
          <w:szCs w:val="32"/>
          <w:highlight w:val="none"/>
          <w:lang w:val="en-US" w:eastAsia="zh-CN"/>
        </w:rPr>
        <w:t>四、资助方式及标准</w:t>
      </w:r>
    </w:p>
    <w:p w14:paraId="2D68A85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资助方式及数量：事后资助，无数量限制</w:t>
      </w:r>
      <w:r>
        <w:rPr>
          <w:rFonts w:hint="eastAsia" w:ascii="仿宋_GB2312" w:eastAsia="仿宋_GB2312"/>
          <w:color w:val="auto"/>
          <w:sz w:val="32"/>
          <w:szCs w:val="32"/>
          <w:highlight w:val="none"/>
          <w:lang w:eastAsia="zh-CN"/>
        </w:rPr>
        <w:t>。</w:t>
      </w:r>
    </w:p>
    <w:p w14:paraId="5679C37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2.资助标准：首次纳入我市规模以上的文体娱乐业企业库的企业，202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年度营收低于2000万元的给予最高10万元的奖励；202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年度营收超过2000万元（含）的，给予不超过营业收入2％、最高100万元的奖励。</w:t>
      </w:r>
    </w:p>
    <w:p w14:paraId="1AF72691">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hAnsi="Calibri" w:eastAsia="仿宋_GB2312"/>
          <w:color w:val="auto"/>
          <w:sz w:val="32"/>
          <w:szCs w:val="32"/>
          <w:highlight w:val="none"/>
        </w:rPr>
      </w:pPr>
    </w:p>
    <w:p w14:paraId="6EF8362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、受理机关</w:t>
      </w:r>
    </w:p>
    <w:p w14:paraId="57B8D9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（一）受理机关：深圳市文化广电旅游体育局。</w:t>
      </w:r>
    </w:p>
    <w:p w14:paraId="1B30BD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（二）受理时间：</w:t>
      </w:r>
    </w:p>
    <w:p w14:paraId="4A851B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网上填报受理时间：</w:t>
      </w:r>
      <w:r>
        <w:rPr>
          <w:rFonts w:hint="eastAsia" w:ascii="仿宋_GB2312" w:eastAsia="仿宋_GB2312"/>
          <w:color w:val="auto"/>
          <w:sz w:val="32"/>
          <w:szCs w:val="32"/>
          <w:highlight w:val="none"/>
          <w:lang w:eastAsia="zh-CN"/>
        </w:rPr>
        <w:t>即日起</w:t>
      </w:r>
      <w:r>
        <w:rPr>
          <w:rFonts w:hint="eastAsia" w:ascii="仿宋_GB2312" w:eastAsia="仿宋_GB2312"/>
          <w:color w:val="auto"/>
          <w:sz w:val="32"/>
          <w:szCs w:val="32"/>
          <w:highlight w:val="none"/>
        </w:rPr>
        <w:t>至202</w:t>
      </w:r>
      <w:r>
        <w:rPr>
          <w:rFonts w:hint="default"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日18</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w:t>
      </w:r>
    </w:p>
    <w:p w14:paraId="6FFEB9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（三）书面材料提交</w:t>
      </w:r>
      <w:r>
        <w:rPr>
          <w:rFonts w:hint="eastAsia" w:ascii="仿宋_GB2312" w:eastAsia="仿宋_GB2312"/>
          <w:color w:val="auto"/>
          <w:sz w:val="32"/>
          <w:szCs w:val="32"/>
          <w:highlight w:val="none"/>
        </w:rPr>
        <w:t>地点：通过初审的</w:t>
      </w:r>
      <w:r>
        <w:rPr>
          <w:rFonts w:hint="eastAsia" w:ascii="仿宋_GB2312" w:eastAsia="仿宋_GB2312"/>
          <w:color w:val="auto"/>
          <w:sz w:val="32"/>
          <w:szCs w:val="32"/>
          <w:highlight w:val="none"/>
          <w:lang w:eastAsia="zh-CN"/>
        </w:rPr>
        <w:t>文化娱乐</w:t>
      </w:r>
      <w:r>
        <w:rPr>
          <w:rFonts w:hint="eastAsia" w:ascii="仿宋_GB2312" w:eastAsia="仿宋_GB2312"/>
          <w:color w:val="auto"/>
          <w:sz w:val="32"/>
          <w:szCs w:val="32"/>
          <w:highlight w:val="none"/>
        </w:rPr>
        <w:t>企业根据系统信息要求的时间和地点，按本指南第五项指引提交书面材料，逾期不予受理。</w:t>
      </w:r>
      <w:r>
        <w:rPr>
          <w:rFonts w:hint="eastAsia" w:ascii="仿宋_GB2312" w:eastAsia="仿宋_GB2312"/>
          <w:color w:val="auto"/>
          <w:sz w:val="32"/>
          <w:szCs w:val="32"/>
          <w:highlight w:val="none"/>
          <w:lang w:eastAsia="zh-CN"/>
        </w:rPr>
        <w:t>通过初审的体育企业，按</w:t>
      </w:r>
      <w:r>
        <w:rPr>
          <w:rFonts w:hint="eastAsia" w:ascii="仿宋_GB2312" w:eastAsia="仿宋_GB2312"/>
          <w:color w:val="auto"/>
          <w:sz w:val="32"/>
          <w:szCs w:val="32"/>
          <w:highlight w:val="none"/>
        </w:rPr>
        <w:t>深圳市文化广电旅游体育局</w:t>
      </w:r>
      <w:r>
        <w:rPr>
          <w:rFonts w:hint="eastAsia" w:ascii="仿宋_GB2312" w:eastAsia="仿宋_GB2312"/>
          <w:color w:val="auto"/>
          <w:sz w:val="32"/>
          <w:szCs w:val="32"/>
          <w:highlight w:val="none"/>
          <w:lang w:eastAsia="zh-CN"/>
        </w:rPr>
        <w:t>政务网发布的书面审查通知提交书面资料。</w:t>
      </w:r>
    </w:p>
    <w:p w14:paraId="4108D6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DEA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2B8A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682B8A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00F507E0"/>
    <w:rsid w:val="0C1FDD1A"/>
    <w:rsid w:val="0CF34B9C"/>
    <w:rsid w:val="18FF523B"/>
    <w:rsid w:val="1DFF7F43"/>
    <w:rsid w:val="24EF2FED"/>
    <w:rsid w:val="258F8D1D"/>
    <w:rsid w:val="25CDFC13"/>
    <w:rsid w:val="2F6DAA79"/>
    <w:rsid w:val="33EFDB21"/>
    <w:rsid w:val="36F5B168"/>
    <w:rsid w:val="37B363A3"/>
    <w:rsid w:val="38FF5F09"/>
    <w:rsid w:val="3BBD1B6C"/>
    <w:rsid w:val="3C77691A"/>
    <w:rsid w:val="3DBB70A6"/>
    <w:rsid w:val="3EFFCAF5"/>
    <w:rsid w:val="42E714D3"/>
    <w:rsid w:val="4BB915F2"/>
    <w:rsid w:val="4DD3F2A8"/>
    <w:rsid w:val="4E7C4CE1"/>
    <w:rsid w:val="4F97551A"/>
    <w:rsid w:val="4FFBD54E"/>
    <w:rsid w:val="521F0134"/>
    <w:rsid w:val="53F3C58A"/>
    <w:rsid w:val="59F2E42B"/>
    <w:rsid w:val="5A5F1042"/>
    <w:rsid w:val="5BFD44BE"/>
    <w:rsid w:val="5C69AA40"/>
    <w:rsid w:val="5CDE9FD9"/>
    <w:rsid w:val="5DFF4246"/>
    <w:rsid w:val="5E1BD2CC"/>
    <w:rsid w:val="5EDBFFE5"/>
    <w:rsid w:val="5EF5883C"/>
    <w:rsid w:val="5EFBCB3F"/>
    <w:rsid w:val="5F76EB82"/>
    <w:rsid w:val="5F7B84CD"/>
    <w:rsid w:val="5FA6F5FB"/>
    <w:rsid w:val="5FB7E7A5"/>
    <w:rsid w:val="5FF7ED57"/>
    <w:rsid w:val="5FFE77BC"/>
    <w:rsid w:val="67FC19B5"/>
    <w:rsid w:val="6AD756D2"/>
    <w:rsid w:val="6B474966"/>
    <w:rsid w:val="6FDE8938"/>
    <w:rsid w:val="6FED5D98"/>
    <w:rsid w:val="6FF367E8"/>
    <w:rsid w:val="6FFE43B9"/>
    <w:rsid w:val="72FF5557"/>
    <w:rsid w:val="73FF9BA8"/>
    <w:rsid w:val="75EF729E"/>
    <w:rsid w:val="76FE96A8"/>
    <w:rsid w:val="7719B8F1"/>
    <w:rsid w:val="776FC5F1"/>
    <w:rsid w:val="77EF0591"/>
    <w:rsid w:val="77EF6916"/>
    <w:rsid w:val="77FE846F"/>
    <w:rsid w:val="785D76F9"/>
    <w:rsid w:val="791F8079"/>
    <w:rsid w:val="79726ECB"/>
    <w:rsid w:val="79F739F3"/>
    <w:rsid w:val="79FF4656"/>
    <w:rsid w:val="7BBFC3E5"/>
    <w:rsid w:val="7BD1B49B"/>
    <w:rsid w:val="7BFA27C9"/>
    <w:rsid w:val="7C1ECD05"/>
    <w:rsid w:val="7DBF3356"/>
    <w:rsid w:val="7DE39E29"/>
    <w:rsid w:val="7DEF6533"/>
    <w:rsid w:val="7DFD317A"/>
    <w:rsid w:val="7EAFFDA7"/>
    <w:rsid w:val="7EB6D596"/>
    <w:rsid w:val="7EF3C945"/>
    <w:rsid w:val="7EF95E85"/>
    <w:rsid w:val="7F370A29"/>
    <w:rsid w:val="7F37F3CF"/>
    <w:rsid w:val="7F5FC4CC"/>
    <w:rsid w:val="7F669F27"/>
    <w:rsid w:val="7F7F6B8C"/>
    <w:rsid w:val="7F962E62"/>
    <w:rsid w:val="7FEE5C6E"/>
    <w:rsid w:val="7FF9CA66"/>
    <w:rsid w:val="7FFF3C5F"/>
    <w:rsid w:val="8736BEF2"/>
    <w:rsid w:val="87F85757"/>
    <w:rsid w:val="93652155"/>
    <w:rsid w:val="957EBB28"/>
    <w:rsid w:val="96F63DBF"/>
    <w:rsid w:val="97DB4823"/>
    <w:rsid w:val="97E59160"/>
    <w:rsid w:val="9CCFDC44"/>
    <w:rsid w:val="9FEDBD24"/>
    <w:rsid w:val="A7FA6492"/>
    <w:rsid w:val="ADCF54CB"/>
    <w:rsid w:val="AFF73D25"/>
    <w:rsid w:val="B57F1515"/>
    <w:rsid w:val="B63F4013"/>
    <w:rsid w:val="B76D84AB"/>
    <w:rsid w:val="B7FF6626"/>
    <w:rsid w:val="BBB397CC"/>
    <w:rsid w:val="BBEE445F"/>
    <w:rsid w:val="BDDFBEFA"/>
    <w:rsid w:val="BDE85DF8"/>
    <w:rsid w:val="BE72BFAA"/>
    <w:rsid w:val="BE78E449"/>
    <w:rsid w:val="BF77EE39"/>
    <w:rsid w:val="BFAFADE0"/>
    <w:rsid w:val="BFF3CE81"/>
    <w:rsid w:val="BFFE0949"/>
    <w:rsid w:val="BFFE7C1B"/>
    <w:rsid w:val="CDFFD468"/>
    <w:rsid w:val="CFFDB4B7"/>
    <w:rsid w:val="D0FF0B7F"/>
    <w:rsid w:val="D5BB9F0F"/>
    <w:rsid w:val="D5CD452A"/>
    <w:rsid w:val="D6DD0B1C"/>
    <w:rsid w:val="D75DE976"/>
    <w:rsid w:val="D76DC572"/>
    <w:rsid w:val="DAF6046C"/>
    <w:rsid w:val="DB3707E6"/>
    <w:rsid w:val="DDDFB8C9"/>
    <w:rsid w:val="DFFF2976"/>
    <w:rsid w:val="DFFFFC3B"/>
    <w:rsid w:val="E33F2918"/>
    <w:rsid w:val="E3FEE979"/>
    <w:rsid w:val="E5FE0F31"/>
    <w:rsid w:val="E5FF8B7B"/>
    <w:rsid w:val="E9D2D723"/>
    <w:rsid w:val="EB6DDCD8"/>
    <w:rsid w:val="EB7D91C3"/>
    <w:rsid w:val="EBE77ED8"/>
    <w:rsid w:val="EBFE6114"/>
    <w:rsid w:val="EC38CFDE"/>
    <w:rsid w:val="EF96A1DB"/>
    <w:rsid w:val="EFAC2EC8"/>
    <w:rsid w:val="EFCEA310"/>
    <w:rsid w:val="EFE7E598"/>
    <w:rsid w:val="EFFB57A2"/>
    <w:rsid w:val="EFFE4760"/>
    <w:rsid w:val="F377B9C9"/>
    <w:rsid w:val="F3BE447F"/>
    <w:rsid w:val="F3CF2296"/>
    <w:rsid w:val="F75EFF39"/>
    <w:rsid w:val="F7BFAF23"/>
    <w:rsid w:val="F7EEA96C"/>
    <w:rsid w:val="F7FF7502"/>
    <w:rsid w:val="F9FD580F"/>
    <w:rsid w:val="FB35227C"/>
    <w:rsid w:val="FBB7A9EF"/>
    <w:rsid w:val="FBBE8723"/>
    <w:rsid w:val="FBDF8C85"/>
    <w:rsid w:val="FBED03DD"/>
    <w:rsid w:val="FBED4062"/>
    <w:rsid w:val="FCABB152"/>
    <w:rsid w:val="FDB1F192"/>
    <w:rsid w:val="FDECB49B"/>
    <w:rsid w:val="FE765B45"/>
    <w:rsid w:val="FE7B98F7"/>
    <w:rsid w:val="FEBDF9FB"/>
    <w:rsid w:val="FF76F5ED"/>
    <w:rsid w:val="FF772411"/>
    <w:rsid w:val="FFAEC2AA"/>
    <w:rsid w:val="FFBDC918"/>
    <w:rsid w:val="FFEFA29B"/>
    <w:rsid w:val="FFEFDA0B"/>
    <w:rsid w:val="FFF2ABC2"/>
    <w:rsid w:val="FFF34C63"/>
    <w:rsid w:val="FFFF4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3"/>
    <w:next w:val="3"/>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6">
    <w:name w:val="Body Text"/>
    <w:basedOn w:val="3"/>
    <w:qFormat/>
    <w:uiPriority w:val="3"/>
    <w:pPr>
      <w:spacing w:line="540" w:lineRule="exact"/>
      <w:jc w:val="left"/>
    </w:pPr>
    <w:rPr>
      <w:rFonts w:ascii="楷体_GB2312" w:hAnsi="Times New Roman" w:eastAsia="楷体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2142</Words>
  <Characters>2415</Characters>
  <Lines>0</Lines>
  <Paragraphs>0</Paragraphs>
  <TotalTime>16</TotalTime>
  <ScaleCrop>false</ScaleCrop>
  <LinksUpToDate>false</LinksUpToDate>
  <CharactersWithSpaces>2415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2024-03-11T01:06:00Z</dcterms:created>
  <dc:creator>余</dc:creator>
  <cp:lastModifiedBy>姬艳丽</cp:lastModifiedBy>
  <cp:lastPrinted>2025-08-03T00:33:00Z</cp:lastPrinted>
  <dcterms:modified xsi:type="dcterms:W3CDTF">2025-09-26T09:32:27Z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6D89F5368B2D44D081637D52524E0C4F_13</vt:lpwstr>
  </property>
  <property fmtid="{D5CDD505-2E9C-101B-9397-08002B2CF9AE}" pid="4" name="KSOTemplateDocerSaveRecord">
    <vt:lpwstr>eyJoZGlkIjoiYzhjOTg1YTM1NDNjZTllMjg3ZThiYjM3ZjVmNjg5ZTgiLCJ1c2VySWQiOiIxNDQzNjAzNzU3In0=</vt:lpwstr>
  </property>
</Properties>
</file>