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D6CB0">
      <w:pPr>
        <w:pStyle w:val="2"/>
        <w:keepNext w:val="0"/>
        <w:keepLines w:val="0"/>
        <w:ind w:firstLine="0" w:firstLineChars="0"/>
        <w:rPr>
          <w:rFonts w:hint="eastAsia"/>
        </w:rPr>
      </w:pPr>
      <w:r>
        <w:rPr>
          <w:rFonts w:hint="eastAsia"/>
        </w:rPr>
        <w:t>附件1</w:t>
      </w:r>
    </w:p>
    <w:p w14:paraId="7A6F661D">
      <w:pPr>
        <w:ind w:firstLine="640"/>
        <w:rPr>
          <w:rFonts w:hint="eastAsia"/>
        </w:rPr>
      </w:pPr>
    </w:p>
    <w:p w14:paraId="1EAD6B76">
      <w:pPr>
        <w:pStyle w:val="9"/>
        <w:rPr>
          <w:rFonts w:hint="eastAsia" w:ascii="楷体_GB2312" w:hAnsi="楷体_GB2312" w:eastAsia="楷体_GB2312" w:cs="楷体_GB2312"/>
          <w:sz w:val="32"/>
        </w:rPr>
      </w:pPr>
      <w:bookmarkStart w:id="0" w:name="_Hlk174020219"/>
      <w:r>
        <w:rPr>
          <w:rFonts w:hint="eastAsia"/>
        </w:rPr>
        <w:t>深圳市工业和信息化局2025年超高清视频显示产业发展扶持计划项目申报指南</w:t>
      </w:r>
      <w:bookmarkStart w:id="1" w:name="_GoBack"/>
      <w:bookmarkEnd w:id="1"/>
    </w:p>
    <w:bookmarkEnd w:id="0"/>
    <w:p w14:paraId="7E004A55">
      <w:pPr>
        <w:ind w:firstLine="640"/>
        <w:rPr>
          <w:rFonts w:hint="eastAsia"/>
        </w:rPr>
      </w:pPr>
    </w:p>
    <w:p w14:paraId="6C308F1E">
      <w:pPr>
        <w:pStyle w:val="2"/>
        <w:numPr>
          <w:ilvl w:val="0"/>
          <w:numId w:val="1"/>
        </w:numPr>
        <w:ind w:firstLineChars="0"/>
        <w:rPr>
          <w:rFonts w:hint="eastAsia"/>
        </w:rPr>
      </w:pPr>
      <w:r>
        <w:rPr>
          <w:rFonts w:hint="eastAsia"/>
        </w:rPr>
        <w:t>资助的项目类别</w:t>
      </w:r>
    </w:p>
    <w:p w14:paraId="1DEF7600">
      <w:pPr>
        <w:ind w:firstLine="643"/>
        <w:rPr>
          <w:rFonts w:hint="eastAsia"/>
        </w:rPr>
      </w:pPr>
      <w:r>
        <w:rPr>
          <w:rStyle w:val="13"/>
          <w:rFonts w:hint="eastAsia"/>
          <w:b/>
          <w:bCs w:val="0"/>
        </w:rPr>
        <w:t>（一）上级资金配套项目：</w:t>
      </w:r>
      <w:r>
        <w:rPr>
          <w:rFonts w:hint="eastAsia"/>
        </w:rPr>
        <w:t>对项目单位承担的工业和信息化部、广东省工业和信息化厅组织开展的超高清视频显示领域重大项目（以下简称国家和省级项目），给予配套支持的专项。拨款方式参照国家和省级项目进行。</w:t>
      </w:r>
    </w:p>
    <w:p w14:paraId="068E9A79">
      <w:pPr>
        <w:ind w:firstLine="643"/>
        <w:rPr>
          <w:rFonts w:hint="eastAsia"/>
        </w:rPr>
      </w:pPr>
      <w:r>
        <w:rPr>
          <w:rStyle w:val="13"/>
          <w:rFonts w:hint="eastAsia"/>
          <w:b/>
          <w:bCs w:val="0"/>
        </w:rPr>
        <w:t>（二）供应链合作项目：</w:t>
      </w:r>
      <w:r>
        <w:rPr>
          <w:rFonts w:hint="eastAsia"/>
        </w:rPr>
        <w:t>超高清视频显示终端、面板企业开放供应链、打通上下游，与核心材料、零部件、装备等企业加强合作、联合攻关，新增相关供应链企业并达成稳定采购合作给予奖励的项目。</w:t>
      </w:r>
    </w:p>
    <w:p w14:paraId="27C8B77A">
      <w:pPr>
        <w:ind w:firstLine="643"/>
        <w:rPr>
          <w:rFonts w:hint="eastAsia"/>
        </w:rPr>
      </w:pPr>
      <w:r>
        <w:rPr>
          <w:rStyle w:val="13"/>
          <w:rFonts w:hint="eastAsia"/>
          <w:b/>
          <w:bCs w:val="0"/>
        </w:rPr>
        <w:t>（三）标准终端应用项目：</w:t>
      </w:r>
      <w:r>
        <w:rPr>
          <w:rFonts w:hint="eastAsia"/>
        </w:rPr>
        <w:t>企业应用AVS3、统一多媒体互联接口等对行业具有重大创新引领作用的超高清视听标准开发、生产、销售终端产品给予资助的项目</w:t>
      </w:r>
      <w:r>
        <w:t>。</w:t>
      </w:r>
    </w:p>
    <w:p w14:paraId="5A337A8B">
      <w:pPr>
        <w:pStyle w:val="2"/>
        <w:ind w:firstLine="640"/>
        <w:rPr>
          <w:rFonts w:hint="eastAsia"/>
        </w:rPr>
      </w:pPr>
      <w:r>
        <w:rPr>
          <w:rFonts w:hint="eastAsia"/>
        </w:rPr>
        <w:t>二、设定依据</w:t>
      </w:r>
    </w:p>
    <w:p w14:paraId="03F0FB52">
      <w:pPr>
        <w:ind w:firstLine="640"/>
        <w:rPr>
          <w:rFonts w:hint="eastAsia"/>
          <w:color w:val="000000"/>
          <w:shd w:val="clear" w:color="auto" w:fill="FFFFFF"/>
        </w:rPr>
      </w:pPr>
      <w:r>
        <w:rPr>
          <w:rFonts w:hint="eastAsia"/>
        </w:rPr>
        <w:t>（一）《深圳市关于推动超高清视频显示产业集群高质量发展的若干措施》</w:t>
      </w:r>
      <w:r>
        <w:rPr>
          <w:rFonts w:hint="eastAsia"/>
          <w:color w:val="000000"/>
          <w:shd w:val="clear" w:color="auto" w:fill="FFFFFF"/>
        </w:rPr>
        <w:t>（深工信规〔</w:t>
      </w:r>
      <w:r>
        <w:rPr>
          <w:color w:val="000000"/>
          <w:shd w:val="clear" w:color="auto" w:fill="FFFFFF"/>
        </w:rPr>
        <w:t>202</w:t>
      </w:r>
      <w:r>
        <w:rPr>
          <w:rFonts w:hint="eastAsia"/>
          <w:color w:val="000000"/>
          <w:shd w:val="clear" w:color="auto" w:fill="FFFFFF"/>
        </w:rPr>
        <w:t>4</w:t>
      </w:r>
      <w:r>
        <w:rPr>
          <w:color w:val="000000"/>
          <w:shd w:val="clear" w:color="auto" w:fill="FFFFFF"/>
        </w:rPr>
        <w:t>〕</w:t>
      </w:r>
      <w:r>
        <w:rPr>
          <w:rFonts w:hint="eastAsia"/>
          <w:color w:val="000000"/>
          <w:shd w:val="clear" w:color="auto" w:fill="FFFFFF"/>
        </w:rPr>
        <w:t>3</w:t>
      </w:r>
      <w:r>
        <w:rPr>
          <w:color w:val="000000"/>
          <w:shd w:val="clear" w:color="auto" w:fill="FFFFFF"/>
        </w:rPr>
        <w:t>号</w:t>
      </w:r>
      <w:r>
        <w:rPr>
          <w:rFonts w:hint="eastAsia"/>
          <w:color w:val="000000"/>
          <w:shd w:val="clear" w:color="auto" w:fill="FFFFFF"/>
        </w:rPr>
        <w:t>，以下简称《若干措施》</w:t>
      </w:r>
      <w:r>
        <w:rPr>
          <w:color w:val="000000"/>
          <w:shd w:val="clear" w:color="auto" w:fill="FFFFFF"/>
        </w:rPr>
        <w:t>）</w:t>
      </w:r>
    </w:p>
    <w:p w14:paraId="4EE61D94">
      <w:pPr>
        <w:ind w:firstLine="640"/>
        <w:rPr>
          <w:rFonts w:hint="eastAsia"/>
        </w:rPr>
      </w:pPr>
      <w:r>
        <w:rPr>
          <w:rFonts w:hint="eastAsia"/>
          <w:color w:val="000000"/>
          <w:shd w:val="clear" w:color="auto" w:fill="FFFFFF"/>
        </w:rPr>
        <w:t>（二）《深圳市培育发展超高清视频显示产业集群行动计划（2024-2025年）》（深工信〔</w:t>
      </w:r>
      <w:r>
        <w:rPr>
          <w:color w:val="000000"/>
          <w:shd w:val="clear" w:color="auto" w:fill="FFFFFF"/>
        </w:rPr>
        <w:t>202</w:t>
      </w:r>
      <w:r>
        <w:rPr>
          <w:rFonts w:hint="eastAsia"/>
          <w:color w:val="000000"/>
          <w:shd w:val="clear" w:color="auto" w:fill="FFFFFF"/>
        </w:rPr>
        <w:t>4</w:t>
      </w:r>
      <w:r>
        <w:rPr>
          <w:color w:val="000000"/>
          <w:shd w:val="clear" w:color="auto" w:fill="FFFFFF"/>
        </w:rPr>
        <w:t>〕</w:t>
      </w:r>
      <w:r>
        <w:rPr>
          <w:rFonts w:hint="eastAsia"/>
          <w:color w:val="000000"/>
          <w:shd w:val="clear" w:color="auto" w:fill="FFFFFF"/>
        </w:rPr>
        <w:t>77</w:t>
      </w:r>
      <w:r>
        <w:rPr>
          <w:color w:val="000000"/>
          <w:shd w:val="clear" w:color="auto" w:fill="FFFFFF"/>
        </w:rPr>
        <w:t>号</w:t>
      </w:r>
      <w:r>
        <w:rPr>
          <w:rFonts w:hint="eastAsia"/>
          <w:color w:val="000000"/>
          <w:shd w:val="clear" w:color="auto" w:fill="FFFFFF"/>
        </w:rPr>
        <w:t>）</w:t>
      </w:r>
    </w:p>
    <w:p w14:paraId="6D0997B8">
      <w:pPr>
        <w:ind w:firstLine="640"/>
        <w:rPr>
          <w:rFonts w:hint="eastAsia"/>
        </w:rPr>
      </w:pPr>
      <w:r>
        <w:rPr>
          <w:rFonts w:hint="eastAsia"/>
        </w:rPr>
        <w:t>（三）《深圳市工业和信息化局超高清视频显示产业发展专项扶持计划操作规程》</w:t>
      </w:r>
      <w:r>
        <w:rPr>
          <w:rFonts w:hint="eastAsia" w:hAnsi="Calibri"/>
          <w:color w:val="000000"/>
        </w:rPr>
        <w:t>（深工信规〔2025〕2号）</w:t>
      </w:r>
    </w:p>
    <w:p w14:paraId="240E6FB2">
      <w:pPr>
        <w:pStyle w:val="2"/>
        <w:ind w:firstLine="640"/>
        <w:rPr>
          <w:rFonts w:hint="eastAsia"/>
        </w:rPr>
      </w:pPr>
      <w:r>
        <w:rPr>
          <w:rFonts w:hint="eastAsia"/>
        </w:rPr>
        <w:t>三、资助的方式和标准及其费用范围</w:t>
      </w:r>
    </w:p>
    <w:p w14:paraId="58DFD143">
      <w:pPr>
        <w:pStyle w:val="3"/>
        <w:ind w:firstLine="643"/>
        <w:rPr>
          <w:rFonts w:hint="eastAsia"/>
          <w:b/>
          <w:bCs w:val="0"/>
          <w:shd w:val="clear" w:color="auto" w:fill="FFFFFF"/>
        </w:rPr>
      </w:pPr>
      <w:r>
        <w:rPr>
          <w:rFonts w:hint="eastAsia"/>
          <w:b/>
          <w:bCs w:val="0"/>
        </w:rPr>
        <w:t>（一）</w:t>
      </w:r>
      <w:r>
        <w:rPr>
          <w:rFonts w:hint="eastAsia"/>
          <w:b/>
          <w:bCs w:val="0"/>
          <w:shd w:val="clear" w:color="auto" w:fill="FFFFFF"/>
        </w:rPr>
        <w:t>上级资金配套项目</w:t>
      </w:r>
    </w:p>
    <w:p w14:paraId="1D6BC9C3">
      <w:pPr>
        <w:pStyle w:val="21"/>
        <w:ind w:firstLine="640"/>
        <w:rPr>
          <w:rFonts w:hint="eastAsia"/>
        </w:rPr>
      </w:pPr>
      <w:r>
        <w:rPr>
          <w:rFonts w:hint="eastAsia"/>
        </w:rPr>
        <w:t>资助标准及费用范围为：按不超过1∶1的比例对已拨付到位的国家或广东省资助资金给予配套，国家级、市级资金合计不超过项目总投资的50%，省级、市级资金合计不超过项目总投资的40%。</w:t>
      </w:r>
    </w:p>
    <w:p w14:paraId="4B281030">
      <w:pPr>
        <w:pStyle w:val="3"/>
        <w:ind w:firstLine="643"/>
        <w:rPr>
          <w:rFonts w:hint="eastAsia"/>
          <w:b/>
          <w:bCs w:val="0"/>
          <w:shd w:val="clear" w:color="auto" w:fill="FFFFFF"/>
        </w:rPr>
      </w:pPr>
      <w:r>
        <w:rPr>
          <w:rFonts w:hint="eastAsia"/>
          <w:b/>
          <w:bCs w:val="0"/>
        </w:rPr>
        <w:t>（二）</w:t>
      </w:r>
      <w:r>
        <w:rPr>
          <w:rFonts w:hint="eastAsia"/>
          <w:b/>
          <w:bCs w:val="0"/>
          <w:shd w:val="clear" w:color="auto" w:fill="FFFFFF"/>
        </w:rPr>
        <w:t>供应链合作项目</w:t>
      </w:r>
    </w:p>
    <w:p w14:paraId="5B01CCD0">
      <w:pPr>
        <w:pStyle w:val="21"/>
        <w:ind w:firstLine="640"/>
        <w:rPr>
          <w:rFonts w:hint="eastAsia"/>
        </w:rPr>
      </w:pPr>
      <w:r>
        <w:rPr>
          <w:rFonts w:hint="eastAsia"/>
        </w:rPr>
        <w:t>资助标准及费用范围为：事后补助，按不超过核定合同金额的20%予以超高清视频显示终端、面板企业奖励，且每家企业每年最高1000万元。</w:t>
      </w:r>
    </w:p>
    <w:p w14:paraId="6F1B3D6C">
      <w:pPr>
        <w:pStyle w:val="3"/>
        <w:ind w:firstLine="643"/>
        <w:rPr>
          <w:rFonts w:hint="eastAsia"/>
          <w:b/>
          <w:bCs w:val="0"/>
        </w:rPr>
      </w:pPr>
      <w:r>
        <w:rPr>
          <w:rFonts w:hint="eastAsia"/>
          <w:b/>
          <w:bCs w:val="0"/>
        </w:rPr>
        <w:t>（三）标准终端应用项目</w:t>
      </w:r>
    </w:p>
    <w:p w14:paraId="03104DBA">
      <w:pPr>
        <w:ind w:firstLine="640"/>
        <w:rPr>
          <w:rFonts w:hint="eastAsia"/>
        </w:rPr>
      </w:pPr>
      <w:r>
        <w:rPr>
          <w:rFonts w:hint="eastAsia" w:hAnsi="楷体_GB2312"/>
        </w:rPr>
        <w:t>资助标准及费用范围为：事后补助，根据应用标准1项、2项及以上分别给予最高不超过核定年度销售额的5</w:t>
      </w:r>
      <w:r>
        <w:rPr>
          <w:rFonts w:hint="eastAsia" w:hAnsi="仿宋_GB2312" w:cs="仿宋_GB2312"/>
          <w:szCs w:val="32"/>
          <w:shd w:val="clear" w:color="auto" w:fill="FFFFFF"/>
        </w:rPr>
        <w:t>‰</w:t>
      </w:r>
      <w:r>
        <w:rPr>
          <w:rFonts w:hint="eastAsia" w:hAnsi="楷体_GB2312"/>
        </w:rPr>
        <w:t>、1%的补助，同系列标准认定为1项标准，同一项目单位同一类别产品采用同一项标准政策期内只能享受一次补助，每个项目最高补助200万元</w:t>
      </w:r>
      <w:r>
        <w:rPr>
          <w:rFonts w:hint="eastAsia"/>
        </w:rPr>
        <w:t>。资助的产品类别包括电视终端、机顶盒、摄像机、交互式一体机、计算机显示器、监视器、投影机、LED显示大屏、解码器、播放器等，以及支持超高清视频显示的手机、平板电脑、笔记本电脑等。</w:t>
      </w:r>
    </w:p>
    <w:p w14:paraId="238284DB">
      <w:pPr>
        <w:ind w:firstLine="643"/>
        <w:rPr>
          <w:rFonts w:hint="eastAsia"/>
          <w:b/>
          <w:bCs/>
        </w:rPr>
      </w:pPr>
      <w:r>
        <w:rPr>
          <w:rFonts w:hint="eastAsia"/>
          <w:b/>
          <w:bCs/>
        </w:rPr>
        <w:t>以上三个资助类别最终实际资助的额度受专项资金年度预算总额控制。</w:t>
      </w:r>
    </w:p>
    <w:p w14:paraId="612F8672">
      <w:pPr>
        <w:pStyle w:val="2"/>
        <w:ind w:firstLine="640"/>
        <w:rPr>
          <w:rFonts w:hint="eastAsia"/>
        </w:rPr>
      </w:pPr>
      <w:r>
        <w:rPr>
          <w:rFonts w:hint="eastAsia"/>
        </w:rPr>
        <w:t>四、项目申报条件</w:t>
      </w:r>
    </w:p>
    <w:p w14:paraId="7745BFCB">
      <w:pPr>
        <w:autoSpaceDE w:val="0"/>
        <w:ind w:firstLine="640"/>
        <w:rPr>
          <w:rFonts w:hAnsi="Calibri"/>
        </w:rPr>
      </w:pPr>
      <w:r>
        <w:rPr>
          <w:rFonts w:hint="eastAsia" w:hAnsi="Calibri"/>
        </w:rPr>
        <w:t>申报条件由</w:t>
      </w:r>
      <w:r>
        <w:rPr>
          <w:rFonts w:hint="eastAsia" w:hAnsi="Calibri"/>
          <w:b/>
        </w:rPr>
        <w:t>基础条件</w:t>
      </w:r>
      <w:r>
        <w:rPr>
          <w:rFonts w:hint="eastAsia" w:hAnsi="Calibri"/>
        </w:rPr>
        <w:t>和</w:t>
      </w:r>
      <w:r>
        <w:rPr>
          <w:rFonts w:hint="eastAsia" w:hAnsi="Calibri"/>
          <w:b/>
        </w:rPr>
        <w:t>专项条件</w:t>
      </w:r>
      <w:r>
        <w:rPr>
          <w:rFonts w:hint="eastAsia" w:hAnsi="Calibri"/>
        </w:rPr>
        <w:t>两部分组成。项目单位应当同时符合基础申报条件和专项申报条件。</w:t>
      </w:r>
    </w:p>
    <w:p w14:paraId="49DBBCAA">
      <w:pPr>
        <w:pStyle w:val="3"/>
        <w:ind w:firstLine="643"/>
        <w:rPr>
          <w:rFonts w:hint="eastAsia"/>
          <w:b/>
          <w:bCs w:val="0"/>
        </w:rPr>
      </w:pPr>
      <w:r>
        <w:rPr>
          <w:rFonts w:hint="eastAsia"/>
          <w:b/>
          <w:bCs w:val="0"/>
        </w:rPr>
        <w:t>（一）基础条件：</w:t>
      </w:r>
    </w:p>
    <w:p w14:paraId="0DE1B195">
      <w:pPr>
        <w:ind w:firstLine="640"/>
        <w:rPr>
          <w:rFonts w:hint="eastAsia"/>
        </w:rPr>
      </w:pPr>
      <w:r>
        <w:rPr>
          <w:rFonts w:hint="eastAsia"/>
        </w:rPr>
        <w:t>1.在深圳市（含深汕特别合作区，下同）实际从事超高清视频显示领域上中下游经营活动，具有独立法人资格的企业、事业单位、行业协会或者其他组织；</w:t>
      </w:r>
    </w:p>
    <w:p w14:paraId="26666338">
      <w:pPr>
        <w:ind w:firstLine="640"/>
        <w:rPr>
          <w:rFonts w:hint="eastAsia"/>
        </w:rPr>
      </w:pPr>
      <w:r>
        <w:rPr>
          <w:rFonts w:hint="eastAsia"/>
        </w:rPr>
        <w:t>2.未被列入严重失信主体名单；</w:t>
      </w:r>
    </w:p>
    <w:p w14:paraId="40F916C3">
      <w:pPr>
        <w:ind w:firstLine="640"/>
        <w:rPr>
          <w:rFonts w:hint="eastAsia"/>
        </w:rPr>
      </w:pPr>
      <w:r>
        <w:rPr>
          <w:rFonts w:hint="eastAsia"/>
        </w:rPr>
        <w:t>3.申报项目实施地在深圳；</w:t>
      </w:r>
    </w:p>
    <w:p w14:paraId="2EEB1241">
      <w:pPr>
        <w:ind w:firstLine="640"/>
        <w:rPr>
          <w:rFonts w:hint="eastAsia"/>
        </w:rPr>
      </w:pPr>
      <w:r>
        <w:rPr>
          <w:rFonts w:hint="eastAsia"/>
        </w:rPr>
        <w:t>4.不存在就同一建设内容相同或部分内容相同的项目向市、区有关部门进行多头申报的情形；</w:t>
      </w:r>
    </w:p>
    <w:p w14:paraId="0B28122C">
      <w:pPr>
        <w:ind w:firstLine="640"/>
        <w:rPr>
          <w:rFonts w:hint="eastAsia"/>
        </w:rPr>
      </w:pPr>
      <w:r>
        <w:rPr>
          <w:rFonts w:hint="eastAsia"/>
        </w:rPr>
        <w:t>5.申报项目符合国家、省、市产业政策以及能耗、环保、安全等要求，并按规定完成所需的用地、环评、规划等手续；</w:t>
      </w:r>
    </w:p>
    <w:p w14:paraId="1B4DCB33">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6.承诺在资金下达文件下发后一年内，项目单位若出现生产经营的重大变动事项，应及时向市工业和信息化局报告，并配合市工业和信息化局完成绩效目标意见整改等相关整改工作；</w:t>
      </w:r>
    </w:p>
    <w:p w14:paraId="12791343">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7.法律、法规、规章和上级行政机关规范性文件规定的其他条件。</w:t>
      </w:r>
    </w:p>
    <w:p w14:paraId="49E49980">
      <w:pPr>
        <w:pStyle w:val="3"/>
        <w:ind w:firstLine="643"/>
        <w:rPr>
          <w:rFonts w:hint="eastAsia"/>
          <w:b/>
          <w:bCs w:val="0"/>
        </w:rPr>
      </w:pPr>
      <w:r>
        <w:rPr>
          <w:rFonts w:hint="eastAsia"/>
          <w:b/>
          <w:bCs w:val="0"/>
        </w:rPr>
        <w:t>（二）专项条件：</w:t>
      </w:r>
    </w:p>
    <w:p w14:paraId="61E1AB20">
      <w:pPr>
        <w:pStyle w:val="4"/>
        <w:ind w:firstLine="643"/>
        <w:rPr>
          <w:rFonts w:hint="eastAsia"/>
        </w:rPr>
      </w:pPr>
      <w:r>
        <w:rPr>
          <w:rFonts w:hint="eastAsia"/>
        </w:rPr>
        <w:t>1.上级资金配套项目</w:t>
      </w:r>
    </w:p>
    <w:p w14:paraId="296ECC7C">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（1）申请项目在《若干措施》有效期内、本指南发布之日前收到国家或省资助资金下达（</w:t>
      </w:r>
      <w:r>
        <w:rPr>
          <w:rFonts w:hint="eastAsia" w:ascii="楷体_GB2312" w:hAnsi="楷体_GB2312" w:eastAsia="楷体_GB2312" w:cs="楷体_GB2312"/>
          <w:sz w:val="32"/>
          <w:szCs w:val="32"/>
          <w:shd w:val="clear" w:color="auto" w:fill="FFFFFF"/>
        </w:rPr>
        <w:t>以国家和省资金下达文件时间为准</w:t>
      </w:r>
      <w:r>
        <w:rPr>
          <w:rFonts w:hint="eastAsia" w:ascii="仿宋_GB2312" w:eastAsia="仿宋_GB2312"/>
          <w:sz w:val="32"/>
          <w:szCs w:val="32"/>
          <w:shd w:val="clear" w:color="auto" w:fill="FFFFFF"/>
        </w:rPr>
        <w:t>）；</w:t>
      </w:r>
    </w:p>
    <w:p w14:paraId="1AA76D11">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（2）项目单位应当原则由市工业和信息化局推荐，牵头承担或者参与承担国家和省级项目，并且在深圳市拥有开展项目的必要条件；</w:t>
      </w:r>
    </w:p>
    <w:p w14:paraId="240FEB9C">
      <w:pPr>
        <w:pStyle w:val="21"/>
        <w:ind w:firstLine="640"/>
        <w:rPr>
          <w:rFonts w:hint="eastAsia"/>
          <w:shd w:val="clear" w:color="auto" w:fill="FFFFFF"/>
        </w:rPr>
      </w:pPr>
      <w:r>
        <w:rPr>
          <w:rFonts w:hint="eastAsia"/>
          <w:shd w:val="clear" w:color="auto" w:fill="FFFFFF"/>
        </w:rPr>
        <w:t>（3）</w:t>
      </w:r>
      <w:r>
        <w:rPr>
          <w:rFonts w:hint="eastAsia"/>
        </w:rPr>
        <w:t>项目应由牵头单位联合深圳市内其他参与单位共同申请；</w:t>
      </w:r>
    </w:p>
    <w:p w14:paraId="11CE8FA0">
      <w:pPr>
        <w:pStyle w:val="21"/>
        <w:ind w:firstLine="640"/>
        <w:rPr>
          <w:rFonts w:hint="eastAsia"/>
          <w:shd w:val="clear" w:color="auto" w:fill="FFFFFF"/>
        </w:rPr>
      </w:pPr>
      <w:r>
        <w:rPr>
          <w:rFonts w:hint="eastAsia"/>
          <w:shd w:val="clear" w:color="auto" w:fill="FFFFFF"/>
        </w:rPr>
        <w:t>（4）</w:t>
      </w:r>
      <w:r>
        <w:rPr>
          <w:rFonts w:hint="eastAsia"/>
        </w:rPr>
        <w:t>国家和省级项目财政资助总额不少于500万元（含500万元）</w:t>
      </w:r>
      <w:r>
        <w:rPr>
          <w:rFonts w:hint="eastAsia"/>
          <w:shd w:val="clear" w:color="auto" w:fill="FFFFFF"/>
        </w:rPr>
        <w:t>；</w:t>
      </w:r>
    </w:p>
    <w:p w14:paraId="3C689955">
      <w:pPr>
        <w:pStyle w:val="21"/>
        <w:ind w:firstLine="640"/>
        <w:rPr>
          <w:rFonts w:hint="eastAsia"/>
          <w:bCs/>
        </w:rPr>
      </w:pPr>
      <w:r>
        <w:rPr>
          <w:rFonts w:hint="eastAsia"/>
          <w:shd w:val="clear" w:color="auto" w:fill="FFFFFF"/>
        </w:rPr>
        <w:t>（5）</w:t>
      </w:r>
      <w:r>
        <w:rPr>
          <w:rFonts w:hint="eastAsia"/>
          <w:bCs/>
        </w:rPr>
        <w:t>国家和省级项目未获得过本市财政扶持；</w:t>
      </w:r>
    </w:p>
    <w:p w14:paraId="13CF322A">
      <w:pPr>
        <w:pStyle w:val="21"/>
        <w:ind w:firstLine="640"/>
        <w:rPr>
          <w:rFonts w:hint="eastAsia"/>
          <w:bCs/>
        </w:rPr>
      </w:pPr>
      <w:r>
        <w:rPr>
          <w:rFonts w:hint="eastAsia"/>
          <w:bCs/>
        </w:rPr>
        <w:t>（6）配套资金应当按照国家和省级项目归属的相关资金政策的规定使用；</w:t>
      </w:r>
    </w:p>
    <w:p w14:paraId="0EC43866">
      <w:pPr>
        <w:pStyle w:val="21"/>
        <w:ind w:firstLine="640"/>
        <w:rPr>
          <w:rFonts w:hint="eastAsia"/>
          <w:shd w:val="clear" w:color="auto" w:fill="FFFFFF"/>
        </w:rPr>
      </w:pPr>
      <w:r>
        <w:rPr>
          <w:rFonts w:hint="eastAsia"/>
          <w:bCs/>
        </w:rPr>
        <w:t>（7）申报配套资金时，国家和省级项目尚未验收完成的，项目单位应当在项目验收前按照国家、省级、市级合同书（或任务书或申报书）相关要求规范使用市级配套资金，并配合主管部门进行中期检查、项目验收、资金收回等相关工作。</w:t>
      </w:r>
    </w:p>
    <w:p w14:paraId="18B44AF1">
      <w:pPr>
        <w:pStyle w:val="4"/>
        <w:ind w:firstLine="643"/>
        <w:rPr>
          <w:rFonts w:hint="eastAsia"/>
          <w:shd w:val="clear" w:color="auto" w:fill="FFFFFF"/>
        </w:rPr>
      </w:pPr>
      <w:r>
        <w:rPr>
          <w:rFonts w:hint="eastAsia"/>
        </w:rPr>
        <w:t>2.</w:t>
      </w:r>
      <w:r>
        <w:rPr>
          <w:rFonts w:hint="eastAsia"/>
          <w:shd w:val="clear" w:color="auto" w:fill="FFFFFF"/>
        </w:rPr>
        <w:t>供应链合作项目</w:t>
      </w:r>
    </w:p>
    <w:p w14:paraId="57ABC7A1">
      <w:pPr>
        <w:pStyle w:val="21"/>
        <w:ind w:firstLine="640"/>
        <w:rPr>
          <w:rFonts w:hint="eastAsia"/>
          <w:shd w:val="clear" w:color="auto" w:fill="FFFFFF"/>
        </w:rPr>
      </w:pPr>
      <w:r>
        <w:rPr>
          <w:rFonts w:hint="eastAsia"/>
          <w:shd w:val="clear" w:color="auto" w:fill="FFFFFF"/>
        </w:rPr>
        <w:t>（1）项目单位是超高清视频显示领域终端、面板研发、生产企业，联合申报单位是超高清视频显示领域核心材料、零部件、装备等研发、生产企业，项目单位及联合申报单位应当联合申报；</w:t>
      </w:r>
    </w:p>
    <w:p w14:paraId="741661A6">
      <w:pPr>
        <w:pStyle w:val="21"/>
        <w:ind w:firstLine="640"/>
        <w:rPr>
          <w:rFonts w:hint="eastAsia"/>
          <w:shd w:val="clear" w:color="auto" w:fill="FFFFFF"/>
        </w:rPr>
      </w:pPr>
      <w:r>
        <w:rPr>
          <w:rFonts w:hint="eastAsia"/>
          <w:shd w:val="clear" w:color="auto" w:fill="FFFFFF"/>
        </w:rPr>
        <w:t>（2）项目单位及联合申报单位均在统计部门登记为工业企业；</w:t>
      </w:r>
    </w:p>
    <w:p w14:paraId="19AD084E">
      <w:pPr>
        <w:pStyle w:val="21"/>
        <w:ind w:firstLine="640"/>
        <w:rPr>
          <w:rFonts w:hint="eastAsia"/>
          <w:shd w:val="clear" w:color="auto" w:fill="FFFFFF"/>
        </w:rPr>
      </w:pPr>
      <w:r>
        <w:rPr>
          <w:rFonts w:hint="eastAsia"/>
          <w:shd w:val="clear" w:color="auto" w:fill="FFFFFF"/>
        </w:rPr>
        <w:t>（3）项目单位及联合申报单位的合作不涉及关联交易；</w:t>
      </w:r>
    </w:p>
    <w:p w14:paraId="1E245A80">
      <w:pPr>
        <w:pStyle w:val="21"/>
        <w:ind w:firstLine="640"/>
        <w:rPr>
          <w:rFonts w:hint="eastAsia"/>
          <w:shd w:val="clear" w:color="auto" w:fill="FFFFFF"/>
        </w:rPr>
      </w:pPr>
      <w:r>
        <w:rPr>
          <w:rFonts w:hint="eastAsia"/>
          <w:shd w:val="clear" w:color="auto" w:fill="FFFFFF"/>
        </w:rPr>
        <w:t>（4）项目实施前，项目单位及联合申报单位之间未开展过供应链采购合作，或近三年累计采购合作金额（只统计项目单位采购联合申报单位核心材料、零部件、装备中的单类别产品金额，不同类别产品不合并统计，不同类别产品是指跨产品，或功能不同，或技术路线不一样的产品，下同）在100万元以下；</w:t>
      </w:r>
    </w:p>
    <w:p w14:paraId="73B0A2E2">
      <w:pPr>
        <w:pStyle w:val="21"/>
        <w:ind w:firstLine="640"/>
        <w:rPr>
          <w:rFonts w:hint="eastAsia"/>
          <w:shd w:val="clear" w:color="auto" w:fill="FFFFFF"/>
        </w:rPr>
      </w:pPr>
      <w:r>
        <w:rPr>
          <w:rFonts w:hint="eastAsia"/>
          <w:shd w:val="clear" w:color="auto" w:fill="FFFFFF"/>
        </w:rPr>
        <w:t>（5）联合申报单位的超高清视频显示核心材料、零部件、装备等产品具有较强的核心竞争力，对产业发展具有带动和引领作用，并通过了项目单位的测试验证、实现了量产应用；</w:t>
      </w:r>
    </w:p>
    <w:p w14:paraId="5A65B5C1">
      <w:pPr>
        <w:pStyle w:val="21"/>
        <w:ind w:firstLine="640"/>
        <w:rPr>
          <w:rFonts w:hint="eastAsia"/>
          <w:shd w:val="clear" w:color="auto" w:fill="FFFFFF"/>
        </w:rPr>
      </w:pPr>
      <w:r>
        <w:rPr>
          <w:rFonts w:hint="eastAsia"/>
          <w:shd w:val="clear" w:color="auto" w:fill="FFFFFF"/>
        </w:rPr>
        <w:t>（6）项目实施期应在《若干措施》有效期内，且项目结束日期应早于本指南发布之日；</w:t>
      </w:r>
    </w:p>
    <w:p w14:paraId="0AFA9E7C">
      <w:pPr>
        <w:pStyle w:val="21"/>
        <w:ind w:firstLine="640"/>
        <w:rPr>
          <w:rFonts w:hint="eastAsia"/>
          <w:shd w:val="clear" w:color="auto" w:fill="FFFFFF"/>
        </w:rPr>
      </w:pPr>
      <w:r>
        <w:rPr>
          <w:rFonts w:hint="eastAsia"/>
          <w:shd w:val="clear" w:color="auto" w:fill="FFFFFF"/>
        </w:rPr>
        <w:t>（7）项目实施期内，项目单位采购联合申报单位超高清视频显示领域核心材料、零部件、装备等产品的核定合同金额（</w:t>
      </w:r>
      <w:r>
        <w:rPr>
          <w:rFonts w:hint="eastAsia" w:ascii="楷体_GB2312" w:hAnsi="楷体_GB2312" w:eastAsia="楷体_GB2312" w:cs="楷体_GB2312"/>
          <w:shd w:val="clear" w:color="auto" w:fill="FFFFFF"/>
        </w:rPr>
        <w:t>只统计单类别产品金额，不同类别产品不合并统计</w:t>
      </w:r>
      <w:r>
        <w:rPr>
          <w:rFonts w:hint="eastAsia"/>
          <w:shd w:val="clear" w:color="auto" w:fill="FFFFFF"/>
        </w:rPr>
        <w:t>）达到1000万元以上（含1000万元）。</w:t>
      </w:r>
    </w:p>
    <w:p w14:paraId="4B9EA7B4">
      <w:pPr>
        <w:pStyle w:val="3"/>
        <w:ind w:firstLine="643"/>
        <w:rPr>
          <w:rFonts w:hint="eastAsia"/>
          <w:b/>
          <w:bCs w:val="0"/>
        </w:rPr>
      </w:pPr>
      <w:r>
        <w:rPr>
          <w:rFonts w:hint="eastAsia"/>
          <w:b/>
          <w:bCs w:val="0"/>
        </w:rPr>
        <w:t>3.标准终端应用项目</w:t>
      </w:r>
    </w:p>
    <w:p w14:paraId="2094881F">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（1）申报的产品应用了AVS3、统一多媒体互联接口等对行业具有重大创新引领作用的超高清视听标准；</w:t>
      </w:r>
    </w:p>
    <w:p w14:paraId="7D36DE08">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（2）申报的产品属于超高清视频显示领域终端产品；</w:t>
      </w:r>
    </w:p>
    <w:p w14:paraId="3CF0D1C4">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（3）申报的产品已实现销售和交付，且项目实施期内，电视、手机、平板电脑、笔记本电脑产品销售额（不含税）不低于1亿元、其他产品销售额（不含税）不低于2000万元；</w:t>
      </w:r>
    </w:p>
    <w:p w14:paraId="7DAC2597">
      <w:pPr>
        <w:pStyle w:val="20"/>
        <w:spacing w:line="56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（4）项目实施期应在《若干措施》有效期内且项目结束日期不晚于2024年12月31日；</w:t>
      </w:r>
    </w:p>
    <w:p w14:paraId="502B0671">
      <w:pPr>
        <w:pStyle w:val="21"/>
        <w:ind w:firstLine="640"/>
        <w:rPr>
          <w:rFonts w:hint="eastAsia"/>
          <w:shd w:val="clear" w:color="auto" w:fill="FFFFFF"/>
        </w:rPr>
      </w:pPr>
      <w:r>
        <w:rPr>
          <w:rFonts w:hint="eastAsia"/>
          <w:shd w:val="clear" w:color="auto" w:fill="FFFFFF"/>
        </w:rPr>
        <w:t>（5）不同型号的同一类别产品需合并申报为一个项目；</w:t>
      </w:r>
    </w:p>
    <w:p w14:paraId="1DA30F2B">
      <w:pPr>
        <w:pStyle w:val="21"/>
        <w:ind w:firstLine="640"/>
        <w:rPr>
          <w:rFonts w:hint="eastAsia"/>
          <w:shd w:val="clear" w:color="auto" w:fill="FFFFFF"/>
        </w:rPr>
      </w:pPr>
      <w:r>
        <w:rPr>
          <w:rFonts w:hint="eastAsia"/>
          <w:shd w:val="clear" w:color="auto" w:fill="FFFFFF"/>
        </w:rPr>
        <w:t>（6）每类产品需单独申报，单家企业同一年度最多申请2个项目；</w:t>
      </w:r>
    </w:p>
    <w:p w14:paraId="1389B09A">
      <w:pPr>
        <w:pStyle w:val="21"/>
        <w:ind w:firstLine="640"/>
        <w:rPr>
          <w:rFonts w:hint="eastAsia"/>
          <w:shd w:val="clear" w:color="auto" w:fill="FFFFFF"/>
        </w:rPr>
      </w:pPr>
      <w:r>
        <w:rPr>
          <w:rFonts w:hint="eastAsia"/>
          <w:shd w:val="clear" w:color="auto" w:fill="FFFFFF"/>
        </w:rPr>
        <w:t>（7）申报的产品需得到标准发布单位的认证；</w:t>
      </w:r>
    </w:p>
    <w:p w14:paraId="2448BE77">
      <w:pPr>
        <w:pStyle w:val="21"/>
        <w:ind w:firstLine="640"/>
        <w:rPr>
          <w:rFonts w:hint="eastAsia"/>
          <w:shd w:val="clear" w:color="auto" w:fill="FFFFFF"/>
        </w:rPr>
      </w:pPr>
      <w:r>
        <w:rPr>
          <w:rFonts w:hint="eastAsia"/>
          <w:shd w:val="clear" w:color="auto" w:fill="FFFFFF"/>
        </w:rPr>
        <w:t>（8）项目单位在统计部门登记为工业企业；</w:t>
      </w:r>
    </w:p>
    <w:p w14:paraId="15BFAFC1">
      <w:pPr>
        <w:pStyle w:val="21"/>
        <w:ind w:firstLine="640"/>
        <w:rPr>
          <w:rFonts w:hint="eastAsia"/>
          <w:shd w:val="clear" w:color="auto" w:fill="FFFFFF"/>
        </w:rPr>
      </w:pPr>
      <w:r>
        <w:rPr>
          <w:rFonts w:hint="eastAsia"/>
          <w:shd w:val="clear" w:color="auto" w:fill="FFFFFF"/>
        </w:rPr>
        <w:t>（9）项目单位需为产品品牌单位，或为终端产品ODM代工厂；项目单位为终端产品ODM代工厂的，需已获取品牌方知悉其申报本资助且品牌方自愿放弃本条政策相关权益的书面材料。</w:t>
      </w:r>
    </w:p>
    <w:p w14:paraId="01141957">
      <w:pPr>
        <w:widowControl/>
        <w:autoSpaceDE w:val="0"/>
        <w:ind w:firstLine="640"/>
        <w:rPr>
          <w:rFonts w:hint="eastAsia" w:ascii="黑体" w:hAnsi="黑体" w:eastAsia="黑体" w:cs="黑体"/>
          <w:bCs/>
        </w:rPr>
      </w:pPr>
      <w:r>
        <w:rPr>
          <w:rFonts w:hint="eastAsia" w:ascii="宋体" w:hAnsi="宋体" w:eastAsia="宋体" w:cs="宋体"/>
          <w:b/>
          <w:bCs/>
          <w:sz w:val="32"/>
          <w:szCs w:val="32"/>
        </w:rPr>
        <w:t>五</w:t>
      </w:r>
      <w:r>
        <w:rPr>
          <w:rFonts w:hint="eastAsia"/>
          <w:b/>
          <w:bCs/>
          <w:sz w:val="32"/>
          <w:szCs w:val="32"/>
        </w:rPr>
        <w:t>、</w:t>
      </w:r>
      <w:r>
        <w:rPr>
          <w:rFonts w:hint="eastAsia" w:ascii="黑体" w:hAnsi="黑体" w:eastAsia="黑体" w:cs="黑体"/>
          <w:b/>
          <w:bCs/>
        </w:rPr>
        <w:t>项目申请受理机关与时间</w:t>
      </w:r>
    </w:p>
    <w:p w14:paraId="7B1CD73F">
      <w:pPr>
        <w:autoSpaceDE w:val="0"/>
        <w:ind w:firstLine="643"/>
        <w:rPr>
          <w:rFonts w:hint="eastAsia" w:hAnsi="仿宋" w:cs="宋体"/>
        </w:rPr>
      </w:pPr>
      <w:r>
        <w:rPr>
          <w:rFonts w:hint="eastAsia" w:ascii="楷体_GB2312" w:hAnsi="楷体_GB2312" w:eastAsia="楷体_GB2312" w:cs="楷体_GB2312"/>
          <w:b/>
          <w:bCs/>
        </w:rPr>
        <w:t>（一）受理机关：</w:t>
      </w:r>
      <w:r>
        <w:rPr>
          <w:rFonts w:hint="eastAsia" w:hAnsi="仿宋" w:cs="宋体"/>
        </w:rPr>
        <w:t>深圳市工业和信息化局。</w:t>
      </w:r>
    </w:p>
    <w:p w14:paraId="1C7A9862">
      <w:pPr>
        <w:widowControl/>
        <w:autoSpaceDE w:val="0"/>
        <w:ind w:firstLine="643"/>
        <w:jc w:val="left"/>
        <w:rPr>
          <w:rFonts w:hint="eastAsia" w:ascii="楷体_GB2312" w:hAnsi="楷体_GB2312" w:eastAsia="楷体_GB2312" w:cs="楷体_GB2312"/>
          <w:b/>
          <w:bCs/>
        </w:rPr>
      </w:pPr>
      <w:r>
        <w:rPr>
          <w:rFonts w:hint="eastAsia" w:ascii="楷体_GB2312" w:hAnsi="楷体_GB2312" w:eastAsia="楷体_GB2312" w:cs="楷体_GB2312"/>
          <w:b/>
          <w:bCs/>
        </w:rPr>
        <w:t>（二）受理时间：</w:t>
      </w:r>
    </w:p>
    <w:p w14:paraId="2634966F">
      <w:pPr>
        <w:autoSpaceDE w:val="0"/>
        <w:ind w:firstLine="640"/>
        <w:outlineLvl w:val="0"/>
        <w:rPr>
          <w:rFonts w:hint="eastAsia" w:hAnsi="宋体"/>
        </w:rPr>
      </w:pPr>
      <w:r>
        <w:rPr>
          <w:rFonts w:hint="eastAsia" w:hAnsi="宋体"/>
        </w:rPr>
        <w:t>1.网络填报受理时间：申报单位需于2025年5月23日至6月6日18时，在线提交项目申请书及配套申报材料，并经过材料齐全性和内容合规性的形式预审。</w:t>
      </w:r>
    </w:p>
    <w:p w14:paraId="4A7BE7F5">
      <w:pPr>
        <w:autoSpaceDE w:val="0"/>
        <w:ind w:firstLine="640"/>
        <w:outlineLvl w:val="0"/>
        <w:rPr>
          <w:rFonts w:hint="eastAsia" w:hAnsi="宋体"/>
        </w:rPr>
      </w:pPr>
      <w:r>
        <w:rPr>
          <w:rFonts w:hint="eastAsia" w:hAnsi="宋体"/>
        </w:rPr>
        <w:t>（注：网络填报受理截止后，不再受理新提交项目的申请，网络填报截止前已提交后又被退回修改的，可继续提交在线预审，但提交时间最迟不能超过书面材料受理的截止时间。所有项目均需在线预审通过后，方可向政务服务中心递交纸质申请材料。项目申请书需在线打印）；</w:t>
      </w:r>
    </w:p>
    <w:p w14:paraId="0E7E6E5C">
      <w:pPr>
        <w:autoSpaceDE w:val="0"/>
        <w:ind w:firstLine="640"/>
        <w:outlineLvl w:val="0"/>
        <w:rPr>
          <w:rFonts w:hint="eastAsia" w:hAnsi="宋体"/>
        </w:rPr>
      </w:pPr>
      <w:r>
        <w:rPr>
          <w:rFonts w:hint="eastAsia" w:hAnsi="宋体"/>
        </w:rPr>
        <w:t>2.书面材料受理时间：申报单位需于2025年5月27日至6月16日（工作时间），到市民中心政务服务中心综合受理窗口提交项目申请书等相关纸质材料。</w:t>
      </w:r>
    </w:p>
    <w:p w14:paraId="235C766C">
      <w:pPr>
        <w:autoSpaceDE w:val="0"/>
        <w:ind w:firstLine="640"/>
        <w:outlineLvl w:val="0"/>
        <w:rPr>
          <w:rFonts w:hint="eastAsia" w:hAnsi="宋体"/>
        </w:rPr>
      </w:pPr>
      <w:r>
        <w:rPr>
          <w:rFonts w:hint="eastAsia" w:hAnsi="宋体"/>
        </w:rPr>
        <w:t>（注：网上预审通过后(申报状态：已预审）请及时预约到政务服务中心窗口递交纸质材料，递交了纸质材料的项目才算申报成功</w:t>
      </w:r>
      <w:r>
        <w:rPr>
          <w:rFonts w:hint="eastAsia"/>
        </w:rPr>
        <w:t>）；</w:t>
      </w:r>
    </w:p>
    <w:p w14:paraId="58DB53A8">
      <w:pPr>
        <w:autoSpaceDE w:val="0"/>
        <w:ind w:firstLine="640"/>
        <w:outlineLvl w:val="0"/>
        <w:rPr>
          <w:rFonts w:hint="eastAsia" w:ascii="黑体" w:hAnsi="黑体" w:eastAsia="黑体"/>
          <w:bCs/>
        </w:rPr>
      </w:pPr>
      <w:r>
        <w:rPr>
          <w:rFonts w:hint="eastAsia" w:ascii="黑体" w:hAnsi="黑体" w:eastAsia="黑体"/>
          <w:bCs/>
          <w:lang w:val="en-US" w:eastAsia="zh-CN"/>
        </w:rPr>
        <w:t>六</w:t>
      </w:r>
      <w:r>
        <w:rPr>
          <w:rFonts w:hint="eastAsia" w:ascii="黑体" w:hAnsi="黑体" w:eastAsia="黑体"/>
          <w:bCs/>
        </w:rPr>
        <w:t>、核准流程</w:t>
      </w:r>
    </w:p>
    <w:p w14:paraId="71254791">
      <w:pPr>
        <w:autoSpaceDE w:val="0"/>
        <w:ind w:firstLine="640"/>
        <w:rPr>
          <w:rFonts w:hint="eastAsia" w:hAnsi="宋体"/>
        </w:rPr>
      </w:pPr>
      <w:r>
        <w:rPr>
          <w:rFonts w:hint="eastAsia" w:hAnsi="宋体"/>
        </w:rPr>
        <w:t>申报单位网上申报</w:t>
      </w:r>
      <w:r>
        <w:rPr>
          <w:rFonts w:hint="eastAsia"/>
        </w:rPr>
        <w:t>——</w:t>
      </w:r>
      <w:r>
        <w:rPr>
          <w:rFonts w:hint="eastAsia" w:hAnsi="仿宋" w:cs="宋体"/>
        </w:rPr>
        <w:t>市工业和信息化局</w:t>
      </w:r>
      <w:r>
        <w:rPr>
          <w:rFonts w:hint="eastAsia" w:hAnsi="宋体"/>
        </w:rPr>
        <w:t>网上预审</w:t>
      </w:r>
      <w:r>
        <w:rPr>
          <w:rFonts w:hint="eastAsia"/>
        </w:rPr>
        <w:t>——</w:t>
      </w:r>
      <w:r>
        <w:rPr>
          <w:rFonts w:hint="eastAsia" w:hAnsi="宋体"/>
        </w:rPr>
        <w:t>申报单位向市政务服务中心收文窗口提交申请材料</w:t>
      </w:r>
      <w:r>
        <w:rPr>
          <w:rFonts w:hint="eastAsia"/>
        </w:rPr>
        <w:t>——项目形式审查——专家评审（如需要）——专项审计（如需要）——征求意见——专项核查（如需要）——拟定扶持计划——社会公示——</w:t>
      </w:r>
      <w:r>
        <w:rPr>
          <w:rFonts w:hint="eastAsia" w:hAnsi="宋体"/>
        </w:rPr>
        <w:t>下达项目扶持计划</w:t>
      </w:r>
      <w:r>
        <w:rPr>
          <w:rFonts w:hint="eastAsia"/>
        </w:rPr>
        <w:t>——</w:t>
      </w:r>
      <w:r>
        <w:rPr>
          <w:rFonts w:hint="eastAsia" w:hAnsi="宋体"/>
        </w:rPr>
        <w:t>申报单位提交拨付资金资料</w:t>
      </w:r>
      <w:r>
        <w:rPr>
          <w:rFonts w:hint="eastAsia"/>
        </w:rPr>
        <w:t>——</w:t>
      </w:r>
      <w:r>
        <w:rPr>
          <w:rFonts w:hint="eastAsia" w:hAnsi="仿宋" w:cs="宋体"/>
        </w:rPr>
        <w:t>市工业和信息化局</w:t>
      </w:r>
      <w:r>
        <w:rPr>
          <w:rFonts w:hint="eastAsia" w:hAnsi="宋体"/>
        </w:rPr>
        <w:t>拨付资金。</w:t>
      </w:r>
    </w:p>
    <w:p w14:paraId="5F934EB8">
      <w:pPr>
        <w:wordWrap w:val="0"/>
        <w:autoSpaceDE w:val="0"/>
        <w:ind w:firstLine="640"/>
        <w:contextualSpacing/>
        <w:rPr>
          <w:rFonts w:hint="eastAsia" w:hAnsi="仿宋" w:cs="宋体"/>
          <w:b/>
          <w:bCs/>
        </w:rPr>
      </w:pPr>
      <w:r>
        <w:rPr>
          <w:rFonts w:hint="eastAsia" w:hAnsi="仿宋" w:cs="宋体"/>
          <w:b/>
          <w:bCs/>
        </w:rPr>
        <w:t>按照相关规定，经审计核减的项目支出占项目申报支出超过20%的，项目不予资助。</w:t>
      </w:r>
    </w:p>
    <w:p w14:paraId="313FDB30">
      <w:pPr>
        <w:pStyle w:val="5"/>
        <w:ind w:firstLine="640"/>
        <w:rPr>
          <w:rFonts w:hint="eastAsia" w:hAnsi="仿宋" w:cs="宋体"/>
          <w:color w:val="FF000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4DEC">
    <w:pPr>
      <w:pStyle w:val="6"/>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78535" cy="230505"/>
                      </a:xfrm>
                      <a:prstGeom prst="rect">
                        <a:avLst/>
                      </a:prstGeom>
                      <a:noFill/>
                      <a:ln w="6350">
                        <a:noFill/>
                      </a:ln>
                    </wps:spPr>
                    <wps:txbx>
                      <w:txbxContent>
                        <w:p w14:paraId="4FF6A07C">
                          <w:pPr>
                            <w:pStyle w:val="6"/>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SZagp0gAAAAQBAAAPAAAAAAAAAAEAIAAAACIAAABkcnMvZG93bnJldi54bWxQSwECFAAU&#10;AAAACACHTuJAb12W4TACAABTBAAADgAAAAAAAAABACAAAAAhAQAAZHJzL2Uyb0RvYy54bWxQSwUG&#10;AAAAAAYABgBZAQAAwwUAAAAA&#10;">
              <v:fill on="f" focussize="0,0"/>
              <v:stroke on="f" weight="0.5pt"/>
              <v:imagedata o:title=""/>
              <o:lock v:ext="edit" aspectratio="f"/>
              <v:textbox inset="0mm,0mm,0mm,0mm" style="mso-fit-shape-to-text:t;">
                <w:txbxContent>
                  <w:p w14:paraId="4FF6A07C">
                    <w:pPr>
                      <w:pStyle w:val="6"/>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4A87">
    <w:pPr>
      <w:pStyle w:val="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DAA4">
    <w:pPr>
      <w:pStyle w:val="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0E84">
    <w:pPr>
      <w:pStyle w:val="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DC071">
    <w:pPr>
      <w:pStyle w:val="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3971">
    <w:pPr>
      <w:pStyle w:val="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E39F4"/>
    <w:multiLevelType w:val="multilevel"/>
    <w:tmpl w:val="098E39F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NmM1NTdkZDUwN2U3MWVhZWU4YTViNWI1ODA4NjIifQ=="/>
  </w:docVars>
  <w:rsids>
    <w:rsidRoot w:val="007B2C94"/>
    <w:rsid w:val="00001381"/>
    <w:rsid w:val="00005C59"/>
    <w:rsid w:val="00007BE9"/>
    <w:rsid w:val="000257A0"/>
    <w:rsid w:val="000341F5"/>
    <w:rsid w:val="000806BA"/>
    <w:rsid w:val="000806EC"/>
    <w:rsid w:val="00082930"/>
    <w:rsid w:val="0008538B"/>
    <w:rsid w:val="000C4262"/>
    <w:rsid w:val="000C6658"/>
    <w:rsid w:val="00124C9B"/>
    <w:rsid w:val="00134BA0"/>
    <w:rsid w:val="0016563C"/>
    <w:rsid w:val="001721D4"/>
    <w:rsid w:val="00181414"/>
    <w:rsid w:val="00194D39"/>
    <w:rsid w:val="00196201"/>
    <w:rsid w:val="001B3B78"/>
    <w:rsid w:val="001E06D2"/>
    <w:rsid w:val="001E3323"/>
    <w:rsid w:val="001F605B"/>
    <w:rsid w:val="001F68D0"/>
    <w:rsid w:val="00264623"/>
    <w:rsid w:val="00276627"/>
    <w:rsid w:val="00276D81"/>
    <w:rsid w:val="00277176"/>
    <w:rsid w:val="00277BEB"/>
    <w:rsid w:val="00296707"/>
    <w:rsid w:val="002D04B7"/>
    <w:rsid w:val="002F42B6"/>
    <w:rsid w:val="00304830"/>
    <w:rsid w:val="00332646"/>
    <w:rsid w:val="00371C5E"/>
    <w:rsid w:val="00381040"/>
    <w:rsid w:val="003B7694"/>
    <w:rsid w:val="003C35E2"/>
    <w:rsid w:val="003C3608"/>
    <w:rsid w:val="003D00D2"/>
    <w:rsid w:val="003E70DB"/>
    <w:rsid w:val="00400D6F"/>
    <w:rsid w:val="00406DEC"/>
    <w:rsid w:val="00415EC1"/>
    <w:rsid w:val="00440575"/>
    <w:rsid w:val="004407CD"/>
    <w:rsid w:val="00440D28"/>
    <w:rsid w:val="0046288D"/>
    <w:rsid w:val="00463541"/>
    <w:rsid w:val="00480C3E"/>
    <w:rsid w:val="004A435A"/>
    <w:rsid w:val="004A6158"/>
    <w:rsid w:val="004E3A05"/>
    <w:rsid w:val="004E413F"/>
    <w:rsid w:val="00520085"/>
    <w:rsid w:val="005210F6"/>
    <w:rsid w:val="005406A4"/>
    <w:rsid w:val="00557B08"/>
    <w:rsid w:val="0056159C"/>
    <w:rsid w:val="00563990"/>
    <w:rsid w:val="005658AF"/>
    <w:rsid w:val="00566598"/>
    <w:rsid w:val="005A3537"/>
    <w:rsid w:val="005D6E63"/>
    <w:rsid w:val="005E5D5D"/>
    <w:rsid w:val="005E7F3F"/>
    <w:rsid w:val="005F35B1"/>
    <w:rsid w:val="00600FAC"/>
    <w:rsid w:val="00666363"/>
    <w:rsid w:val="00694461"/>
    <w:rsid w:val="006D6A46"/>
    <w:rsid w:val="006E3FC5"/>
    <w:rsid w:val="007072C6"/>
    <w:rsid w:val="00707A0E"/>
    <w:rsid w:val="00731A90"/>
    <w:rsid w:val="00734541"/>
    <w:rsid w:val="00751640"/>
    <w:rsid w:val="00771265"/>
    <w:rsid w:val="00780341"/>
    <w:rsid w:val="00786251"/>
    <w:rsid w:val="007A0542"/>
    <w:rsid w:val="007B2C94"/>
    <w:rsid w:val="007D0B31"/>
    <w:rsid w:val="007F23CB"/>
    <w:rsid w:val="008119BF"/>
    <w:rsid w:val="008432DF"/>
    <w:rsid w:val="00856D1C"/>
    <w:rsid w:val="0089005C"/>
    <w:rsid w:val="008B5296"/>
    <w:rsid w:val="008D1DD0"/>
    <w:rsid w:val="008F25E0"/>
    <w:rsid w:val="00900AEF"/>
    <w:rsid w:val="00920274"/>
    <w:rsid w:val="009216DD"/>
    <w:rsid w:val="00937859"/>
    <w:rsid w:val="00940CE9"/>
    <w:rsid w:val="009807B5"/>
    <w:rsid w:val="00990F95"/>
    <w:rsid w:val="009C3AE7"/>
    <w:rsid w:val="009C4D00"/>
    <w:rsid w:val="009D0311"/>
    <w:rsid w:val="009D4285"/>
    <w:rsid w:val="009E7F8C"/>
    <w:rsid w:val="00A9227B"/>
    <w:rsid w:val="00AA4859"/>
    <w:rsid w:val="00AB6228"/>
    <w:rsid w:val="00AC602B"/>
    <w:rsid w:val="00AF6C3D"/>
    <w:rsid w:val="00B57A61"/>
    <w:rsid w:val="00B64688"/>
    <w:rsid w:val="00B70E14"/>
    <w:rsid w:val="00B84B1C"/>
    <w:rsid w:val="00B90892"/>
    <w:rsid w:val="00B971F7"/>
    <w:rsid w:val="00BC10DE"/>
    <w:rsid w:val="00BD00EF"/>
    <w:rsid w:val="00BE7162"/>
    <w:rsid w:val="00BF4D35"/>
    <w:rsid w:val="00C032C8"/>
    <w:rsid w:val="00C06928"/>
    <w:rsid w:val="00C1332C"/>
    <w:rsid w:val="00C36773"/>
    <w:rsid w:val="00C73949"/>
    <w:rsid w:val="00C77016"/>
    <w:rsid w:val="00C84999"/>
    <w:rsid w:val="00C877C0"/>
    <w:rsid w:val="00C976C2"/>
    <w:rsid w:val="00CB3533"/>
    <w:rsid w:val="00D0120B"/>
    <w:rsid w:val="00D02DBB"/>
    <w:rsid w:val="00D16B9D"/>
    <w:rsid w:val="00D20C6C"/>
    <w:rsid w:val="00D41826"/>
    <w:rsid w:val="00D7516C"/>
    <w:rsid w:val="00DA683B"/>
    <w:rsid w:val="00DB0BA7"/>
    <w:rsid w:val="00DC72DB"/>
    <w:rsid w:val="00DD19E7"/>
    <w:rsid w:val="00DE4757"/>
    <w:rsid w:val="00E10697"/>
    <w:rsid w:val="00E24672"/>
    <w:rsid w:val="00E24D73"/>
    <w:rsid w:val="00E303DB"/>
    <w:rsid w:val="00E52F7D"/>
    <w:rsid w:val="00E5612F"/>
    <w:rsid w:val="00E830A4"/>
    <w:rsid w:val="00E974D1"/>
    <w:rsid w:val="00EA0873"/>
    <w:rsid w:val="00EA1888"/>
    <w:rsid w:val="00EA37E7"/>
    <w:rsid w:val="00EB60B2"/>
    <w:rsid w:val="00EF5D52"/>
    <w:rsid w:val="00F12259"/>
    <w:rsid w:val="00F24052"/>
    <w:rsid w:val="00F25F32"/>
    <w:rsid w:val="00F435B1"/>
    <w:rsid w:val="00F47FA0"/>
    <w:rsid w:val="00F50EF7"/>
    <w:rsid w:val="00F95A40"/>
    <w:rsid w:val="00FC059C"/>
    <w:rsid w:val="00FD28F9"/>
    <w:rsid w:val="00FE7E34"/>
    <w:rsid w:val="01505F15"/>
    <w:rsid w:val="018A7679"/>
    <w:rsid w:val="02262316"/>
    <w:rsid w:val="02D2490D"/>
    <w:rsid w:val="03CA1FAF"/>
    <w:rsid w:val="04F0022B"/>
    <w:rsid w:val="05317EF1"/>
    <w:rsid w:val="06FD269B"/>
    <w:rsid w:val="07635C4A"/>
    <w:rsid w:val="09BC4A2E"/>
    <w:rsid w:val="0AD656DD"/>
    <w:rsid w:val="0B574A70"/>
    <w:rsid w:val="0B9D09F9"/>
    <w:rsid w:val="0CDB347F"/>
    <w:rsid w:val="0CF32576"/>
    <w:rsid w:val="0CF956B3"/>
    <w:rsid w:val="0DFC36AD"/>
    <w:rsid w:val="0E016FFC"/>
    <w:rsid w:val="0E124C7E"/>
    <w:rsid w:val="0EA10D5E"/>
    <w:rsid w:val="0F84395A"/>
    <w:rsid w:val="101E557F"/>
    <w:rsid w:val="10BF08AE"/>
    <w:rsid w:val="12614426"/>
    <w:rsid w:val="14837AED"/>
    <w:rsid w:val="14EC0D8E"/>
    <w:rsid w:val="15063063"/>
    <w:rsid w:val="16302145"/>
    <w:rsid w:val="185145F5"/>
    <w:rsid w:val="185760AF"/>
    <w:rsid w:val="186B3C17"/>
    <w:rsid w:val="19094ED0"/>
    <w:rsid w:val="19831126"/>
    <w:rsid w:val="19B47531"/>
    <w:rsid w:val="19D35C0A"/>
    <w:rsid w:val="1B4248E9"/>
    <w:rsid w:val="1BF5780F"/>
    <w:rsid w:val="1DC37071"/>
    <w:rsid w:val="1EAD284A"/>
    <w:rsid w:val="1FE43FA1"/>
    <w:rsid w:val="20592BE1"/>
    <w:rsid w:val="20FB5A46"/>
    <w:rsid w:val="217C26E3"/>
    <w:rsid w:val="23A710EC"/>
    <w:rsid w:val="24457704"/>
    <w:rsid w:val="244D07CF"/>
    <w:rsid w:val="245259F0"/>
    <w:rsid w:val="24C70119"/>
    <w:rsid w:val="256B319A"/>
    <w:rsid w:val="26864004"/>
    <w:rsid w:val="282E0DF4"/>
    <w:rsid w:val="286839C1"/>
    <w:rsid w:val="292D4147"/>
    <w:rsid w:val="2A055081"/>
    <w:rsid w:val="2A104310"/>
    <w:rsid w:val="2A8F12D8"/>
    <w:rsid w:val="2B585F6F"/>
    <w:rsid w:val="2C002162"/>
    <w:rsid w:val="2C167BD8"/>
    <w:rsid w:val="2C5D6089"/>
    <w:rsid w:val="2C9A4365"/>
    <w:rsid w:val="2CAB6572"/>
    <w:rsid w:val="2DB60A4D"/>
    <w:rsid w:val="2DDD37F2"/>
    <w:rsid w:val="2E0C1292"/>
    <w:rsid w:val="2E5F7614"/>
    <w:rsid w:val="2F621497"/>
    <w:rsid w:val="30047255"/>
    <w:rsid w:val="30341687"/>
    <w:rsid w:val="30E262DA"/>
    <w:rsid w:val="32476D77"/>
    <w:rsid w:val="32775ED7"/>
    <w:rsid w:val="32B31CDC"/>
    <w:rsid w:val="32D3412D"/>
    <w:rsid w:val="338C4793"/>
    <w:rsid w:val="343412F1"/>
    <w:rsid w:val="347B7BC2"/>
    <w:rsid w:val="34AE30A3"/>
    <w:rsid w:val="351F5D4F"/>
    <w:rsid w:val="35D00DF7"/>
    <w:rsid w:val="36355798"/>
    <w:rsid w:val="36392E40"/>
    <w:rsid w:val="37092813"/>
    <w:rsid w:val="38091EFE"/>
    <w:rsid w:val="384D2BD3"/>
    <w:rsid w:val="389338B6"/>
    <w:rsid w:val="38B249C3"/>
    <w:rsid w:val="39BF18AF"/>
    <w:rsid w:val="3AAC1E33"/>
    <w:rsid w:val="3AED1DB7"/>
    <w:rsid w:val="3B0A4DAB"/>
    <w:rsid w:val="3D7D2088"/>
    <w:rsid w:val="3E7521E6"/>
    <w:rsid w:val="3E9C5D1B"/>
    <w:rsid w:val="3F43263A"/>
    <w:rsid w:val="407056B1"/>
    <w:rsid w:val="40D45C40"/>
    <w:rsid w:val="41AA074E"/>
    <w:rsid w:val="41AE46E3"/>
    <w:rsid w:val="42764AD5"/>
    <w:rsid w:val="4315253F"/>
    <w:rsid w:val="436239D7"/>
    <w:rsid w:val="43D23F8D"/>
    <w:rsid w:val="44BE2E8F"/>
    <w:rsid w:val="45482EA7"/>
    <w:rsid w:val="4604635B"/>
    <w:rsid w:val="46193E71"/>
    <w:rsid w:val="466C2476"/>
    <w:rsid w:val="471E5E67"/>
    <w:rsid w:val="478C7274"/>
    <w:rsid w:val="47B71E17"/>
    <w:rsid w:val="493C2BF3"/>
    <w:rsid w:val="4A7A1270"/>
    <w:rsid w:val="4A841A8D"/>
    <w:rsid w:val="4BA803F5"/>
    <w:rsid w:val="4BFC24EE"/>
    <w:rsid w:val="4D185106"/>
    <w:rsid w:val="4D447CA9"/>
    <w:rsid w:val="4D682A44"/>
    <w:rsid w:val="4D8E6952"/>
    <w:rsid w:val="4DA26074"/>
    <w:rsid w:val="4F734876"/>
    <w:rsid w:val="4F754A92"/>
    <w:rsid w:val="505D2651"/>
    <w:rsid w:val="505E1082"/>
    <w:rsid w:val="511A58F1"/>
    <w:rsid w:val="51452242"/>
    <w:rsid w:val="53642E53"/>
    <w:rsid w:val="536A5F90"/>
    <w:rsid w:val="53937294"/>
    <w:rsid w:val="54043F3E"/>
    <w:rsid w:val="558867CA"/>
    <w:rsid w:val="55C20305"/>
    <w:rsid w:val="55C951EF"/>
    <w:rsid w:val="562C310A"/>
    <w:rsid w:val="56C854A7"/>
    <w:rsid w:val="57715B3F"/>
    <w:rsid w:val="57D305A7"/>
    <w:rsid w:val="57EB4354"/>
    <w:rsid w:val="58A929FC"/>
    <w:rsid w:val="590D7AE9"/>
    <w:rsid w:val="595A1E97"/>
    <w:rsid w:val="5A2055FA"/>
    <w:rsid w:val="5A5D1005"/>
    <w:rsid w:val="5A655703"/>
    <w:rsid w:val="5AE76118"/>
    <w:rsid w:val="5C3B496D"/>
    <w:rsid w:val="5C9C5CF1"/>
    <w:rsid w:val="5E2D49DB"/>
    <w:rsid w:val="5F622211"/>
    <w:rsid w:val="5F70492E"/>
    <w:rsid w:val="5FCE1142"/>
    <w:rsid w:val="605177D4"/>
    <w:rsid w:val="608763D3"/>
    <w:rsid w:val="60EB181D"/>
    <w:rsid w:val="61493688"/>
    <w:rsid w:val="61C84EF5"/>
    <w:rsid w:val="61DC62AA"/>
    <w:rsid w:val="62373E29"/>
    <w:rsid w:val="62743F92"/>
    <w:rsid w:val="634C5CEC"/>
    <w:rsid w:val="65E43CBA"/>
    <w:rsid w:val="66434B4A"/>
    <w:rsid w:val="675A0840"/>
    <w:rsid w:val="6787315C"/>
    <w:rsid w:val="696A6892"/>
    <w:rsid w:val="69821E2D"/>
    <w:rsid w:val="6BAC7F55"/>
    <w:rsid w:val="6DE54063"/>
    <w:rsid w:val="706B361B"/>
    <w:rsid w:val="70E0047C"/>
    <w:rsid w:val="716D2C6A"/>
    <w:rsid w:val="724F2AC9"/>
    <w:rsid w:val="730971E3"/>
    <w:rsid w:val="738A200A"/>
    <w:rsid w:val="740E5704"/>
    <w:rsid w:val="746F2FAE"/>
    <w:rsid w:val="748C2B39"/>
    <w:rsid w:val="7496678D"/>
    <w:rsid w:val="753A180E"/>
    <w:rsid w:val="77B21B30"/>
    <w:rsid w:val="77DF044B"/>
    <w:rsid w:val="781F6A99"/>
    <w:rsid w:val="782567A5"/>
    <w:rsid w:val="785D6A0E"/>
    <w:rsid w:val="78C22246"/>
    <w:rsid w:val="78C338C8"/>
    <w:rsid w:val="7949417E"/>
    <w:rsid w:val="7B51165F"/>
    <w:rsid w:val="7BFC522D"/>
    <w:rsid w:val="7C4B4301"/>
    <w:rsid w:val="7D060228"/>
    <w:rsid w:val="7DE9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等线" w:eastAsia="仿宋_GB2312" w:cs="Times New Roman"/>
      <w:kern w:val="2"/>
      <w:sz w:val="32"/>
      <w:szCs w:val="22"/>
      <w:lang w:val="en-US" w:eastAsia="zh-CN" w:bidi="ar-SA"/>
    </w:rPr>
  </w:style>
  <w:style w:type="paragraph" w:styleId="2">
    <w:name w:val="heading 1"/>
    <w:basedOn w:val="1"/>
    <w:next w:val="1"/>
    <w:link w:val="12"/>
    <w:qFormat/>
    <w:uiPriority w:val="9"/>
    <w:pPr>
      <w:keepNext/>
      <w:keepLines/>
      <w:outlineLvl w:val="0"/>
    </w:pPr>
    <w:rPr>
      <w:rFonts w:ascii="黑体" w:eastAsia="黑体"/>
      <w:bCs/>
      <w:kern w:val="44"/>
      <w:szCs w:val="44"/>
    </w:rPr>
  </w:style>
  <w:style w:type="paragraph" w:styleId="3">
    <w:name w:val="heading 2"/>
    <w:basedOn w:val="1"/>
    <w:next w:val="1"/>
    <w:link w:val="13"/>
    <w:qFormat/>
    <w:uiPriority w:val="9"/>
    <w:pPr>
      <w:keepNext/>
      <w:keepLines/>
      <w:outlineLvl w:val="1"/>
    </w:pPr>
    <w:rPr>
      <w:rFonts w:ascii="楷体_GB2312" w:hAnsi="等线 Light" w:eastAsia="楷体_GB2312"/>
      <w:bCs/>
      <w:szCs w:val="32"/>
    </w:rPr>
  </w:style>
  <w:style w:type="paragraph" w:styleId="4">
    <w:name w:val="heading 3"/>
    <w:basedOn w:val="1"/>
    <w:next w:val="1"/>
    <w:link w:val="14"/>
    <w:qFormat/>
    <w:uiPriority w:val="9"/>
    <w:pPr>
      <w:keepNext/>
      <w:keepLines/>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5"/>
    <w:unhideWhenUsed/>
    <w:qFormat/>
    <w:uiPriority w:val="99"/>
    <w:pPr>
      <w:spacing w:after="120"/>
    </w:p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7"/>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qFormat/>
    <w:uiPriority w:val="99"/>
    <w:pPr>
      <w:spacing w:before="100" w:beforeAutospacing="1" w:after="100" w:afterAutospacing="1" w:line="240" w:lineRule="auto"/>
      <w:ind w:firstLine="0" w:firstLineChars="0"/>
      <w:jc w:val="left"/>
    </w:pPr>
    <w:rPr>
      <w:rFonts w:ascii="Calibri" w:hAnsi="Calibri" w:eastAsia="宋体"/>
      <w:kern w:val="0"/>
      <w:sz w:val="24"/>
    </w:rPr>
  </w:style>
  <w:style w:type="paragraph" w:styleId="9">
    <w:name w:val="Title"/>
    <w:basedOn w:val="1"/>
    <w:next w:val="1"/>
    <w:link w:val="18"/>
    <w:qFormat/>
    <w:uiPriority w:val="10"/>
    <w:pPr>
      <w:ind w:firstLine="0" w:firstLineChars="0"/>
      <w:jc w:val="center"/>
      <w:outlineLvl w:val="0"/>
    </w:pPr>
    <w:rPr>
      <w:rFonts w:ascii="方正小标宋简体" w:hAnsi="等线 Light" w:eastAsia="方正小标宋简体"/>
      <w:bCs/>
      <w:sz w:val="44"/>
      <w:szCs w:val="32"/>
    </w:rPr>
  </w:style>
  <w:style w:type="character" w:customStyle="1" w:styleId="12">
    <w:name w:val="标题 1 字符"/>
    <w:basedOn w:val="11"/>
    <w:link w:val="2"/>
    <w:qFormat/>
    <w:uiPriority w:val="9"/>
    <w:rPr>
      <w:rFonts w:ascii="黑体" w:eastAsia="黑体"/>
      <w:bCs/>
      <w:kern w:val="44"/>
      <w:sz w:val="32"/>
      <w:szCs w:val="44"/>
    </w:rPr>
  </w:style>
  <w:style w:type="character" w:customStyle="1" w:styleId="13">
    <w:name w:val="标题 2 字符"/>
    <w:basedOn w:val="11"/>
    <w:link w:val="3"/>
    <w:qFormat/>
    <w:uiPriority w:val="9"/>
    <w:rPr>
      <w:rFonts w:ascii="楷体_GB2312" w:hAnsi="等线 Light" w:eastAsia="楷体_GB2312" w:cs="Times New Roman"/>
      <w:bCs/>
      <w:sz w:val="32"/>
      <w:szCs w:val="32"/>
    </w:rPr>
  </w:style>
  <w:style w:type="character" w:customStyle="1" w:styleId="14">
    <w:name w:val="标题 3 字符"/>
    <w:basedOn w:val="11"/>
    <w:link w:val="4"/>
    <w:qFormat/>
    <w:uiPriority w:val="9"/>
    <w:rPr>
      <w:rFonts w:ascii="仿宋_GB2312" w:eastAsia="仿宋_GB2312"/>
      <w:b/>
      <w:bCs/>
      <w:sz w:val="32"/>
      <w:szCs w:val="32"/>
    </w:rPr>
  </w:style>
  <w:style w:type="character" w:customStyle="1" w:styleId="15">
    <w:name w:val="正文文本 字符"/>
    <w:basedOn w:val="11"/>
    <w:link w:val="5"/>
    <w:semiHidden/>
    <w:qFormat/>
    <w:uiPriority w:val="99"/>
    <w:rPr>
      <w:rFonts w:ascii="仿宋_GB2312" w:eastAsia="仿宋_GB2312"/>
      <w:sz w:val="32"/>
    </w:rPr>
  </w:style>
  <w:style w:type="character" w:customStyle="1" w:styleId="16">
    <w:name w:val="页脚 字符"/>
    <w:basedOn w:val="11"/>
    <w:link w:val="6"/>
    <w:qFormat/>
    <w:uiPriority w:val="99"/>
    <w:rPr>
      <w:rFonts w:ascii="仿宋_GB2312" w:eastAsia="仿宋_GB2312"/>
      <w:sz w:val="18"/>
      <w:szCs w:val="18"/>
    </w:rPr>
  </w:style>
  <w:style w:type="character" w:customStyle="1" w:styleId="17">
    <w:name w:val="页眉 字符"/>
    <w:basedOn w:val="11"/>
    <w:link w:val="7"/>
    <w:qFormat/>
    <w:uiPriority w:val="99"/>
    <w:rPr>
      <w:rFonts w:ascii="仿宋_GB2312" w:eastAsia="仿宋_GB2312"/>
      <w:sz w:val="18"/>
      <w:szCs w:val="18"/>
    </w:rPr>
  </w:style>
  <w:style w:type="character" w:customStyle="1" w:styleId="18">
    <w:name w:val="标题 字符"/>
    <w:basedOn w:val="11"/>
    <w:link w:val="9"/>
    <w:qFormat/>
    <w:uiPriority w:val="10"/>
    <w:rPr>
      <w:rFonts w:ascii="方正小标宋简体" w:hAnsi="等线 Light" w:eastAsia="方正小标宋简体" w:cs="Times New Roman"/>
      <w:bCs/>
      <w:sz w:val="44"/>
      <w:szCs w:val="32"/>
    </w:rPr>
  </w:style>
  <w:style w:type="character" w:customStyle="1" w:styleId="19">
    <w:name w:val="不明显强调1"/>
    <w:basedOn w:val="11"/>
    <w:qFormat/>
    <w:uiPriority w:val="19"/>
    <w:rPr>
      <w:i/>
      <w:iCs/>
      <w:color w:val="3F3F3F"/>
    </w:rPr>
  </w:style>
  <w:style w:type="paragraph" w:customStyle="1" w:styleId="20">
    <w:name w:val="正文_0"/>
    <w:basedOn w:val="1"/>
    <w:next w:val="5"/>
    <w:qFormat/>
    <w:uiPriority w:val="0"/>
    <w:pPr>
      <w:spacing w:line="240" w:lineRule="auto"/>
      <w:ind w:firstLine="0" w:firstLineChars="0"/>
    </w:pPr>
    <w:rPr>
      <w:rFonts w:ascii="Times New Roman" w:hAnsi="Times New Roman" w:eastAsia="宋体"/>
      <w:sz w:val="21"/>
      <w:szCs w:val="21"/>
    </w:rPr>
  </w:style>
  <w:style w:type="paragraph" w:customStyle="1" w:styleId="21">
    <w:name w:val="【正文】"/>
    <w:basedOn w:val="20"/>
    <w:qFormat/>
    <w:uiPriority w:val="0"/>
    <w:pPr>
      <w:adjustRightInd w:val="0"/>
      <w:snapToGrid w:val="0"/>
      <w:spacing w:line="560" w:lineRule="exact"/>
      <w:ind w:firstLine="200" w:firstLineChars="200"/>
    </w:pPr>
    <w:rPr>
      <w:rFonts w:ascii="仿宋_GB2312" w:hAnsi="宋体" w:eastAsia="仿宋_GB2312" w:cs="宋体"/>
      <w:sz w:val="32"/>
      <w:szCs w:val="32"/>
    </w:rPr>
  </w:style>
  <w:style w:type="paragraph" w:styleId="22">
    <w:name w:val="List Paragraph"/>
    <w:basedOn w:val="1"/>
    <w:qFormat/>
    <w:uiPriority w:val="0"/>
    <w:pPr>
      <w:ind w:firstLine="420"/>
    </w:pPr>
  </w:style>
  <w:style w:type="paragraph" w:customStyle="1" w:styleId="23">
    <w:name w:val="修订1"/>
    <w:hidden/>
    <w:unhideWhenUsed/>
    <w:qFormat/>
    <w:uiPriority w:val="99"/>
    <w:rPr>
      <w:rFonts w:ascii="仿宋_GB2312" w:hAnsi="等线"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4981</Words>
  <Characters>5175</Characters>
  <Lines>142</Lines>
  <Paragraphs>123</Paragraphs>
  <TotalTime>134</TotalTime>
  <ScaleCrop>false</ScaleCrop>
  <LinksUpToDate>false</LinksUpToDate>
  <CharactersWithSpaces>5181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2025-04-16T08:04:00Z</dcterms:created>
  <dc:creator>Qian YU</dc:creator>
  <cp:lastModifiedBy>姬艳丽</cp:lastModifiedBy>
  <dcterms:modified xsi:type="dcterms:W3CDTF">2025-05-15T08:42:41Z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A45073B20555430AB86FF899A76EC86D_13</vt:lpwstr>
  </property>
  <property fmtid="{D5CDD505-2E9C-101B-9397-08002B2CF9AE}" pid="4" name="KSOTemplateDocerSaveRecord">
    <vt:lpwstr>eyJoZGlkIjoiYzhjOTg1YTM1NDNjZTllMjg3ZThiYjM3ZjVmNjg5ZTgiLCJ1c2VySWQiOiIxNDQzNjAzNzU3In0=</vt:lpwstr>
  </property>
</Properties>
</file>