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F65C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p>
    <w:p w14:paraId="14A81E7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p>
    <w:p w14:paraId="4596710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0EDBF0BB">
      <w:pPr>
        <w:spacing w:line="560" w:lineRule="exact"/>
        <w:jc w:val="center"/>
        <w:rPr>
          <w:rFonts w:ascii="方正小标宋简体" w:eastAsia="方正小标宋简体"/>
          <w:color w:val="000000" w:themeColor="text1"/>
          <w:sz w:val="44"/>
          <w:szCs w:val="44"/>
          <w14:textFill>
            <w14:solidFill>
              <w14:schemeClr w14:val="tx1"/>
            </w14:solidFill>
          </w14:textFill>
        </w:rPr>
      </w:pPr>
    </w:p>
    <w:p w14:paraId="7A350200">
      <w:pPr>
        <w:spacing w:line="560" w:lineRule="exact"/>
        <w:jc w:val="center"/>
        <w:rPr>
          <w:rFonts w:ascii="Arial" w:hAnsi="Arial" w:eastAsia="方正小标宋简体" w:cs="Arial"/>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hint="eastAsia" w:ascii="方正小标宋简体" w:eastAsia="方正小标宋简体"/>
          <w:color w:val="000000" w:themeColor="text1"/>
          <w:sz w:val="44"/>
          <w:szCs w:val="44"/>
          <w:lang w:val="en-US" w:eastAsia="zh-CN"/>
          <w14:textFill>
            <w14:solidFill>
              <w14:schemeClr w14:val="tx1"/>
            </w14:solidFill>
          </w14:textFill>
        </w:rPr>
        <w:t>4</w:t>
      </w:r>
      <w:r>
        <w:rPr>
          <w:rFonts w:hint="eastAsia" w:ascii="方正小标宋简体" w:eastAsia="方正小标宋简体"/>
          <w:color w:val="000000" w:themeColor="text1"/>
          <w:sz w:val="44"/>
          <w:szCs w:val="44"/>
          <w14:textFill>
            <w14:solidFill>
              <w14:schemeClr w14:val="tx1"/>
            </w14:solidFill>
          </w14:textFill>
        </w:rPr>
        <w:t>年度中央资金（</w:t>
      </w:r>
      <w:r>
        <w:rPr>
          <w:rFonts w:ascii="Arial" w:hAnsi="Arial" w:eastAsia="方正小标宋简体" w:cs="Arial"/>
          <w:color w:val="000000" w:themeColor="text1"/>
          <w:sz w:val="44"/>
          <w:szCs w:val="44"/>
          <w14:textFill>
            <w14:solidFill>
              <w14:schemeClr w14:val="tx1"/>
            </w14:solidFill>
          </w14:textFill>
        </w:rPr>
        <w:t>对外投资</w:t>
      </w:r>
    </w:p>
    <w:p w14:paraId="2C486D04">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合作资助</w:t>
      </w:r>
      <w:r>
        <w:rPr>
          <w:rFonts w:hint="eastAsia" w:ascii="方正小标宋简体" w:eastAsia="方正小标宋简体"/>
          <w:color w:val="000000" w:themeColor="text1"/>
          <w:sz w:val="44"/>
          <w:szCs w:val="44"/>
          <w14:textFill>
            <w14:solidFill>
              <w14:schemeClr w14:val="tx1"/>
            </w14:solidFill>
          </w14:textFill>
        </w:rPr>
        <w:t>事项）申报指南</w:t>
      </w:r>
    </w:p>
    <w:p w14:paraId="5E33149C">
      <w:pPr>
        <w:spacing w:line="560" w:lineRule="exact"/>
        <w:ind w:firstLine="640" w:firstLineChars="200"/>
        <w:rPr>
          <w:rFonts w:ascii="黑体" w:hAnsi="黑体" w:eastAsia="黑体"/>
          <w:color w:val="000000" w:themeColor="text1"/>
          <w:sz w:val="32"/>
          <w:szCs w:val="32"/>
          <w14:textFill>
            <w14:solidFill>
              <w14:schemeClr w14:val="tx1"/>
            </w14:solidFill>
          </w14:textFill>
        </w:rPr>
      </w:pPr>
      <w:bookmarkStart w:id="2" w:name="_GoBack"/>
      <w:bookmarkEnd w:id="2"/>
    </w:p>
    <w:p w14:paraId="2B07B68A">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14:paraId="325DD919">
      <w:pPr>
        <w:tabs>
          <w:tab w:val="left" w:pos="5227"/>
        </w:tabs>
        <w:spacing w:line="560" w:lineRule="exact"/>
        <w:ind w:firstLine="630"/>
        <w:rPr>
          <w:highlight w:val="none"/>
        </w:rPr>
      </w:pPr>
      <w:r>
        <w:rPr>
          <w:rFonts w:ascii="仿宋_GB2312" w:eastAsia="仿宋_GB2312"/>
          <w:color w:val="000000" w:themeColor="text1"/>
          <w:sz w:val="32"/>
          <w:szCs w:val="32"/>
          <w:highlight w:val="none"/>
          <w14:textFill>
            <w14:solidFill>
              <w14:schemeClr w14:val="tx1"/>
            </w14:solidFill>
          </w14:textFill>
        </w:rPr>
        <w:t>鼓励企业开展境外优质农产品、能源资源、原材料、先进装备、关键零部件和核心技术等领域投资并购，加强贸易投资融合，更好服务国内大循环。支持企业通过投建营综合发展、多元化融资、三方或者多方市场合作等方式，深化对外绿色基建、新型基建合作，推进清洁能源、交通运输、通信设施、设计咨询等领域的投资合作，推进高质量共</w:t>
      </w:r>
      <w:r>
        <w:rPr>
          <w:rFonts w:hint="eastAsia" w:ascii="仿宋_GB2312" w:hAnsi="仿宋_GB2312" w:eastAsia="仿宋_GB2312" w:cs="仿宋_GB2312"/>
          <w:color w:val="000000" w:themeColor="text1"/>
          <w:sz w:val="32"/>
          <w:szCs w:val="32"/>
          <w:highlight w:val="none"/>
          <w14:textFill>
            <w14:solidFill>
              <w14:schemeClr w14:val="tx1"/>
            </w14:solidFill>
          </w14:textFill>
        </w:rPr>
        <w:t>建“一带一路”，</w:t>
      </w:r>
      <w:r>
        <w:rPr>
          <w:rFonts w:ascii="仿宋_GB2312" w:eastAsia="仿宋_GB2312"/>
          <w:color w:val="000000" w:themeColor="text1"/>
          <w:sz w:val="32"/>
          <w:szCs w:val="32"/>
          <w:highlight w:val="none"/>
          <w14:textFill>
            <w14:solidFill>
              <w14:schemeClr w14:val="tx1"/>
            </w14:solidFill>
          </w14:textFill>
        </w:rPr>
        <w:t>带动国内装备、技术、标准和服务嵌入国际循环。引导已建成的农业型、资源型、科技型、物流型以及其他与国内产业相互促进的境外经贸合作区提质升级</w:t>
      </w:r>
      <w:r>
        <w:rPr>
          <w:rFonts w:hint="eastAsia" w:ascii="仿宋_GB2312" w:eastAsia="仿宋_GB2312"/>
          <w:color w:val="000000" w:themeColor="text1"/>
          <w:sz w:val="32"/>
          <w:szCs w:val="32"/>
          <w:highlight w:val="none"/>
          <w14:textFill>
            <w14:solidFill>
              <w14:schemeClr w14:val="tx1"/>
            </w14:solidFill>
          </w14:textFill>
        </w:rPr>
        <w:t>。</w:t>
      </w:r>
    </w:p>
    <w:p w14:paraId="62B59B0B">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14:paraId="1C450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14:paraId="63D181BE">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eastAsia="仿宋_GB2312"/>
          <w:sz w:val="32"/>
          <w:szCs w:val="32"/>
          <w:lang w:eastAsia="zh-CN"/>
        </w:rPr>
        <w:t>根据相关文件设定</w:t>
      </w:r>
      <w:r>
        <w:rPr>
          <w:rFonts w:hint="eastAsia" w:ascii="仿宋_GB2312" w:hAnsi="仿宋_GB2312"/>
          <w:sz w:val="32"/>
          <w:szCs w:val="32"/>
          <w:lang w:val="en-US" w:eastAsia="zh-CN"/>
        </w:rPr>
        <w:t>。</w:t>
      </w:r>
    </w:p>
    <w:p w14:paraId="52AA9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14:paraId="44386FC3">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default" w:ascii="仿宋_GB2312" w:hAnsi="仿宋_GB2312" w:eastAsia="仿宋_GB2312"/>
          <w:sz w:val="32"/>
          <w:szCs w:val="32"/>
          <w:lang w:eastAsia="zh-CN"/>
        </w:rPr>
        <w:t>中央资金相关管理文件</w:t>
      </w:r>
      <w:r>
        <w:rPr>
          <w:rFonts w:hint="eastAsia" w:ascii="仿宋_GB2312" w:hAnsi="仿宋_GB2312"/>
          <w:sz w:val="32"/>
          <w:szCs w:val="32"/>
          <w:lang w:val="en-US" w:eastAsia="zh-CN"/>
        </w:rPr>
        <w:t>。</w:t>
      </w:r>
    </w:p>
    <w:p w14:paraId="5F94B685">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2.《深圳市商务专项资金管理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14:paraId="0BCFCF8D">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14:paraId="6D51E831">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14:paraId="76B3A3DC">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14:paraId="42994959">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14:paraId="225ED545">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14:paraId="0CD01237">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14:paraId="3B5873B4">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14:paraId="602522CC">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1.申报单位为在深圳市行政区域内依法登记注册，具有独立法人资格的企业</w:t>
      </w:r>
      <w:r>
        <w:rPr>
          <w:rFonts w:ascii="仿宋_GB2312" w:hAnsi="仿宋_GB2312" w:eastAsia="仿宋_GB2312"/>
          <w:sz w:val="32"/>
          <w:szCs w:val="32"/>
        </w:rPr>
        <w:t>。</w:t>
      </w:r>
    </w:p>
    <w:p w14:paraId="18B4C862">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申报单位未被国家、省、市有关部门列入严重失信主体名单实施失信惩戒，明确限制申请财政性资金项目，且在限制期内</w:t>
      </w:r>
      <w:r>
        <w:rPr>
          <w:rFonts w:ascii="仿宋_GB2312" w:hAnsi="仿宋_GB2312" w:eastAsia="仿宋_GB2312" w:cs="仿宋_GB2312"/>
          <w:color w:val="000000" w:themeColor="text1"/>
          <w:sz w:val="32"/>
          <w:szCs w:val="32"/>
          <w14:textFill>
            <w14:solidFill>
              <w14:schemeClr w14:val="tx1"/>
            </w14:solidFill>
          </w14:textFill>
        </w:rPr>
        <w:t>。</w:t>
      </w:r>
    </w:p>
    <w:p w14:paraId="31DAEAC5">
      <w:pPr>
        <w:widowControl/>
        <w:shd w:val="clear" w:color="auto" w:fill="FFFFFF"/>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3.申报单位近</w:t>
      </w:r>
      <w:r>
        <w:rPr>
          <w:rFonts w:ascii="仿宋_GB2312" w:eastAsia="仿宋_GB2312"/>
          <w:color w:val="000000" w:themeColor="text1"/>
          <w:sz w:val="32"/>
          <w:szCs w:val="32"/>
          <w:highlight w:val="none"/>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不存在</w:t>
      </w:r>
      <w:r>
        <w:rPr>
          <w:rFonts w:hint="eastAsia" w:ascii="仿宋_GB2312" w:eastAsia="仿宋_GB2312"/>
          <w:color w:val="000000" w:themeColor="text1"/>
          <w:sz w:val="32"/>
          <w:szCs w:val="32"/>
          <w:highlight w:val="none"/>
          <w14:textFill>
            <w14:solidFill>
              <w14:schemeClr w14:val="tx1"/>
            </w14:solidFill>
          </w14:textFill>
        </w:rPr>
        <w:t>严重违法违规行为，未拖欠应缴还的财政性资金</w:t>
      </w:r>
      <w:r>
        <w:rPr>
          <w:rFonts w:ascii="仿宋_GB2312" w:eastAsia="仿宋_GB2312"/>
          <w:color w:val="000000" w:themeColor="text1"/>
          <w:sz w:val="32"/>
          <w:szCs w:val="32"/>
          <w:highlight w:val="none"/>
          <w14:textFill>
            <w14:solidFill>
              <w14:schemeClr w14:val="tx1"/>
            </w14:solidFill>
          </w14:textFill>
        </w:rPr>
        <w:t>。</w:t>
      </w:r>
    </w:p>
    <w:p w14:paraId="44E5A945">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4.申报单位应承担资金真实申报、合规使用和有效管理；应对申报材料的真实性、合法性、完整性负责，应如实提供本单位信用状况，承担违约责任并作出承诺，不得弄虚作假、套取、骗取财政资金。</w:t>
      </w:r>
    </w:p>
    <w:p w14:paraId="2A3E4BC5">
      <w:pPr>
        <w:tabs>
          <w:tab w:val="left" w:pos="798"/>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5.申报项目</w:t>
      </w:r>
      <w:r>
        <w:rPr>
          <w:rFonts w:ascii="仿宋_GB2312" w:hAnsi="仿宋_GB2312" w:eastAsia="仿宋_GB2312" w:cs="仿宋_GB2312"/>
          <w:color w:val="000000" w:themeColor="text1"/>
          <w:sz w:val="32"/>
          <w:szCs w:val="32"/>
          <w14:textFill>
            <w14:solidFill>
              <w14:schemeClr w14:val="tx1"/>
            </w14:solidFill>
          </w14:textFill>
        </w:rPr>
        <w:t>未以</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ascii="仿宋_GB2312" w:hAnsi="仿宋_GB2312" w:eastAsia="仿宋_GB2312" w:cs="仿宋_GB2312"/>
          <w:color w:val="000000" w:themeColor="text1"/>
          <w:sz w:val="32"/>
          <w:szCs w:val="32"/>
          <w14:textFill>
            <w14:solidFill>
              <w14:schemeClr w14:val="tx1"/>
            </w14:solidFill>
          </w14:textFill>
        </w:rPr>
        <w:t>从其他渠道获得中央财政资金支持。</w:t>
      </w:r>
    </w:p>
    <w:p w14:paraId="7942F5EE">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企业已进行境外投资核准或备案，依法取得境外投资证书或境外机构证书且已在境外开展业务，已在项目所在国（地区）依法注册或办理合法手续；或已进行对外承包工程项目核准或备案，项目合同或合作协议已</w:t>
      </w:r>
      <w:r>
        <w:rPr>
          <w:rFonts w:hint="default" w:ascii="仿宋_GB2312" w:hAnsi="仿宋_GB2312" w:eastAsia="仿宋_GB2312" w:cs="仿宋_GB2312"/>
          <w:color w:val="000000" w:themeColor="text1"/>
          <w:sz w:val="32"/>
          <w:szCs w:val="32"/>
          <w14:textFill>
            <w14:solidFill>
              <w14:schemeClr w14:val="tx1"/>
            </w14:solidFill>
          </w14:textFill>
        </w:rPr>
        <w:t>签订</w:t>
      </w:r>
      <w:r>
        <w:rPr>
          <w:rFonts w:ascii="仿宋_GB2312" w:hAnsi="仿宋_GB2312" w:eastAsia="仿宋_GB2312" w:cs="仿宋_GB2312"/>
          <w:color w:val="000000" w:themeColor="text1"/>
          <w:sz w:val="32"/>
          <w:szCs w:val="32"/>
          <w14:textFill>
            <w14:solidFill>
              <w14:schemeClr w14:val="tx1"/>
            </w14:solidFill>
          </w14:textFill>
        </w:rPr>
        <w:t>。</w:t>
      </w:r>
    </w:p>
    <w:p w14:paraId="5BE7BEF5">
      <w:pPr>
        <w:pStyle w:val="8"/>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《对外直接投资统计制度》《对外承包工程业务统计调查制度》</w:t>
      </w:r>
      <w:r>
        <w:rPr>
          <w:rFonts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规定向商务主管部门报送统计资料</w:t>
      </w:r>
      <w:r>
        <w:rPr>
          <w:rFonts w:ascii="仿宋_GB2312" w:hAnsi="仿宋_GB2312" w:eastAsia="仿宋_GB2312" w:cs="仿宋_GB2312"/>
          <w:color w:val="000000" w:themeColor="text1"/>
          <w:sz w:val="32"/>
          <w:szCs w:val="32"/>
          <w14:textFill>
            <w14:solidFill>
              <w14:schemeClr w14:val="tx1"/>
            </w14:solidFill>
          </w14:textFill>
        </w:rPr>
        <w:t>。</w:t>
      </w:r>
    </w:p>
    <w:p w14:paraId="00C439D7">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14:paraId="2C26C53C">
      <w:pPr>
        <w:widowControl/>
        <w:shd w:val="clear" w:color="auto" w:fill="FFFFFF"/>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对外承包工程项目合同金额不低于100万美元（或等值货币）</w:t>
      </w:r>
      <w:r>
        <w:rPr>
          <w:rFonts w:hint="eastAsia" w:ascii="仿宋_GB2312" w:eastAsia="仿宋_GB2312"/>
          <w:sz w:val="32"/>
          <w:szCs w:val="32"/>
          <w:lang w:eastAsia="zh-CN"/>
        </w:rPr>
        <w:t>，其中对外设计咨询项目合同金额不低于 50 万美元；</w:t>
      </w:r>
      <w:r>
        <w:rPr>
          <w:rFonts w:hint="eastAsia" w:ascii="仿宋_GB2312" w:eastAsia="仿宋_GB2312"/>
          <w:sz w:val="32"/>
          <w:szCs w:val="32"/>
        </w:rPr>
        <w:t>境外投资项目中方实际直接投资额不低于100万美元（或等值货币）；申请贷款贴息项目的，单笔贷款金额不低于300万元人民币（或等值货币）。</w:t>
      </w:r>
    </w:p>
    <w:p w14:paraId="0CFA623F">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2.申请前期费用支持的境外企业注册时间、并购项目交割时间或工程项目合同（协议）签订时间应在202</w:t>
      </w:r>
      <w:r>
        <w:rPr>
          <w:rFonts w:hint="eastAsia" w:ascii="仿宋_GB2312" w:eastAsia="仿宋_GB2312"/>
          <w:sz w:val="32"/>
          <w:szCs w:val="32"/>
          <w:lang w:val="en-US" w:eastAsia="zh-CN"/>
        </w:rPr>
        <w:t>3</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年6月30日期间</w:t>
      </w:r>
      <w:r>
        <w:rPr>
          <w:rFonts w:hint="default" w:ascii="仿宋_GB2312" w:eastAsia="仿宋_GB2312"/>
          <w:sz w:val="32"/>
          <w:szCs w:val="32"/>
        </w:rPr>
        <w:t>。</w:t>
      </w:r>
      <w:r>
        <w:rPr>
          <w:rFonts w:hint="default" w:ascii="仿宋_GB2312" w:eastAsia="仿宋_GB2312"/>
          <w:sz w:val="32"/>
          <w:szCs w:val="32"/>
          <w:highlight w:val="none"/>
        </w:rPr>
        <w:t>相应的</w:t>
      </w:r>
      <w:r>
        <w:rPr>
          <w:rFonts w:hint="default" w:ascii="仿宋_GB2312" w:eastAsia="仿宋_GB2312"/>
          <w:b w:val="0"/>
          <w:bCs w:val="0"/>
          <w:sz w:val="32"/>
          <w:szCs w:val="32"/>
          <w:highlight w:val="none"/>
        </w:rPr>
        <w:t>前期服务合同签订时间应在境外企业注册时间、并购项目交割时间或</w:t>
      </w:r>
      <w:r>
        <w:rPr>
          <w:rFonts w:hint="eastAsia" w:ascii="仿宋_GB2312" w:eastAsia="仿宋_GB2312"/>
          <w:sz w:val="32"/>
          <w:szCs w:val="32"/>
          <w:highlight w:val="none"/>
        </w:rPr>
        <w:t>工程项目合同（协议）</w:t>
      </w:r>
      <w:r>
        <w:rPr>
          <w:rFonts w:hint="default" w:ascii="仿宋_GB2312" w:eastAsia="仿宋_GB2312"/>
          <w:sz w:val="32"/>
          <w:szCs w:val="32"/>
          <w:highlight w:val="none"/>
        </w:rPr>
        <w:t>签订时间之前，企业应在</w:t>
      </w:r>
      <w:r>
        <w:rPr>
          <w:rFonts w:hint="eastAsia" w:ascii="仿宋_GB2312" w:eastAsia="仿宋_GB2312"/>
          <w:b w:val="0"/>
          <w:bCs w:val="0"/>
          <w:sz w:val="32"/>
          <w:szCs w:val="32"/>
          <w:highlight w:val="none"/>
        </w:rPr>
        <w:t>本通知规定的申报截止日期之前支付相关</w:t>
      </w:r>
      <w:r>
        <w:rPr>
          <w:rFonts w:hint="default" w:ascii="仿宋_GB2312" w:eastAsia="仿宋_GB2312"/>
          <w:b w:val="0"/>
          <w:bCs w:val="0"/>
          <w:sz w:val="32"/>
          <w:szCs w:val="32"/>
          <w:highlight w:val="none"/>
        </w:rPr>
        <w:t>服务</w:t>
      </w:r>
      <w:r>
        <w:rPr>
          <w:rFonts w:hint="eastAsia" w:ascii="仿宋_GB2312" w:eastAsia="仿宋_GB2312"/>
          <w:b w:val="0"/>
          <w:bCs w:val="0"/>
          <w:sz w:val="32"/>
          <w:szCs w:val="32"/>
          <w:highlight w:val="none"/>
        </w:rPr>
        <w:t>费用</w:t>
      </w:r>
      <w:r>
        <w:rPr>
          <w:rFonts w:hint="eastAsia" w:ascii="仿宋_GB2312" w:eastAsia="仿宋_GB2312"/>
          <w:sz w:val="32"/>
          <w:szCs w:val="32"/>
          <w:highlight w:val="none"/>
        </w:rPr>
        <w:t>。</w:t>
      </w:r>
    </w:p>
    <w:p w14:paraId="743C2680">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3.申请贷款利息贴息支持、海外投资保险保费支持的资助项目，其项目合同、贷款合同、保单应当在202</w:t>
      </w:r>
      <w:r>
        <w:rPr>
          <w:rFonts w:hint="eastAsia" w:ascii="仿宋_GB2312" w:eastAsia="仿宋_GB2312"/>
          <w:sz w:val="32"/>
          <w:szCs w:val="32"/>
          <w:lang w:val="en-US" w:eastAsia="zh-CN"/>
        </w:rPr>
        <w:t>3</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年6月30日期间正在执行或有效，并在本通知规定的申报截止日期之前已支付此期间发生的相关费用。</w:t>
      </w:r>
    </w:p>
    <w:p w14:paraId="14FBE4B3">
      <w:pPr>
        <w:tabs>
          <w:tab w:val="left" w:pos="1353"/>
        </w:tabs>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w:t>
      </w:r>
      <w:r>
        <w:rPr>
          <w:rFonts w:hint="default" w:ascii="仿宋_GB2312" w:eastAsia="仿宋_GB2312"/>
          <w:sz w:val="32"/>
          <w:szCs w:val="32"/>
        </w:rPr>
        <w:t>申请</w:t>
      </w:r>
      <w:r>
        <w:rPr>
          <w:rFonts w:hint="eastAsia" w:ascii="仿宋_GB2312" w:eastAsia="仿宋_GB2312"/>
          <w:sz w:val="32"/>
          <w:szCs w:val="32"/>
          <w:lang w:eastAsia="zh-CN"/>
        </w:rPr>
        <w:t>省级</w:t>
      </w:r>
      <w:r>
        <w:rPr>
          <w:rFonts w:hint="eastAsia" w:ascii="仿宋_GB2312" w:eastAsia="仿宋_GB2312"/>
          <w:sz w:val="32"/>
          <w:szCs w:val="32"/>
        </w:rPr>
        <w:t>境外经贸合作区建设支持的资助项目应当在202</w:t>
      </w:r>
      <w:r>
        <w:rPr>
          <w:rFonts w:hint="eastAsia" w:ascii="仿宋_GB2312" w:eastAsia="仿宋_GB2312"/>
          <w:sz w:val="32"/>
          <w:szCs w:val="32"/>
          <w:lang w:val="en-US" w:eastAsia="zh-CN"/>
        </w:rPr>
        <w:t>3</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年6月30日期间项目开展建设或执行，并在本通知规定的申报截止日期之前已支付此期间发生的相关费用。</w:t>
      </w:r>
    </w:p>
    <w:p w14:paraId="3CD7613D">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14:paraId="636C91E9">
      <w:pPr>
        <w:widowControl/>
        <w:shd w:val="clear" w:color="auto" w:fill="FFFFFF"/>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eastAsia="楷体_GB2312"/>
          <w:sz w:val="32"/>
          <w:szCs w:val="32"/>
        </w:rPr>
        <w:t>支持内容</w:t>
      </w:r>
    </w:p>
    <w:p w14:paraId="256014BF">
      <w:pPr>
        <w:widowControl/>
        <w:shd w:val="clear" w:color="auto" w:fill="FFFFFF"/>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楷体_GB2312" w:eastAsia="楷体_GB2312"/>
          <w:sz w:val="32"/>
          <w:szCs w:val="32"/>
        </w:rPr>
        <w:t>1.</w:t>
      </w:r>
      <w:r>
        <w:rPr>
          <w:rFonts w:hint="eastAsia" w:ascii="楷体_GB2312" w:eastAsia="楷体_GB2312"/>
          <w:sz w:val="32"/>
          <w:szCs w:val="32"/>
        </w:rPr>
        <w:t>前期费用支持项目</w:t>
      </w:r>
    </w:p>
    <w:p w14:paraId="27AA6768">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前期费用是指</w:t>
      </w:r>
      <w:r>
        <w:rPr>
          <w:rFonts w:ascii="仿宋_GB2312" w:hAnsi="仿宋_GB2312" w:eastAsia="仿宋_GB2312" w:cs="仿宋_GB2312"/>
          <w:sz w:val="32"/>
          <w:szCs w:val="32"/>
        </w:rPr>
        <w:t>境内企业</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w:t>
      </w:r>
      <w:r>
        <w:rPr>
          <w:rFonts w:ascii="仿宋_GB2312" w:hAnsi="仿宋_GB2312" w:eastAsia="仿宋_GB2312" w:cs="仿宋_GB2312"/>
          <w:sz w:val="32"/>
          <w:szCs w:val="32"/>
        </w:rPr>
        <w:t>为获得或取得</w:t>
      </w:r>
      <w:r>
        <w:rPr>
          <w:rFonts w:hint="eastAsia" w:ascii="仿宋_GB2312" w:eastAsia="仿宋_GB2312"/>
          <w:sz w:val="32"/>
          <w:szCs w:val="32"/>
        </w:rPr>
        <w:t>对外承包工程项目或境外投资项目，</w:t>
      </w:r>
      <w:r>
        <w:rPr>
          <w:rFonts w:ascii="仿宋_GB2312" w:hAnsi="仿宋_GB2312" w:eastAsia="仿宋_GB2312" w:cs="仿宋_GB2312"/>
          <w:sz w:val="32"/>
          <w:szCs w:val="32"/>
        </w:rPr>
        <w:t>委托具有相应资格的专业机构，提供的法律、技术、商务和投融资咨询等服务费用。具体</w:t>
      </w:r>
      <w:r>
        <w:rPr>
          <w:rFonts w:hint="eastAsia" w:ascii="仿宋_GB2312" w:eastAsia="仿宋_GB2312"/>
          <w:sz w:val="32"/>
          <w:szCs w:val="32"/>
        </w:rPr>
        <w:t>支持内容为：</w:t>
      </w:r>
    </w:p>
    <w:p w14:paraId="6460AC01">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rPr>
        <w:t>法律、技术、商务和投融资咨询的服务费用</w:t>
      </w:r>
      <w:r>
        <w:rPr>
          <w:rFonts w:hint="eastAsia" w:ascii="仿宋_GB2312" w:hAnsi="仿宋_GB2312" w:eastAsia="仿宋_GB2312" w:cs="仿宋_GB2312"/>
          <w:sz w:val="32"/>
          <w:szCs w:val="32"/>
        </w:rPr>
        <w:t>；</w:t>
      </w:r>
    </w:p>
    <w:p w14:paraId="52396A66">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项目建议书、尽职调查、可研分析、可行性研究报告、投资环境分析和项目安全评估报告等编制费用；</w:t>
      </w:r>
    </w:p>
    <w:p w14:paraId="6C1759CB">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项目标书、技术资料等规范性文件资料的购买费用；</w:t>
      </w:r>
    </w:p>
    <w:p w14:paraId="673CD7EC">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项目标书、技术资料等规范性文件资料的翻译费用。</w:t>
      </w:r>
    </w:p>
    <w:p w14:paraId="15A4E2E1">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对上述实际支付的费用给予不超过50%的支持（项目前期费用的实际支出不得高于项目</w:t>
      </w:r>
      <w:r>
        <w:rPr>
          <w:rFonts w:hint="eastAsia" w:ascii="仿宋_GB2312" w:hAnsi="宋体" w:eastAsia="仿宋_GB2312" w:cs="宋体"/>
          <w:kern w:val="0"/>
          <w:sz w:val="32"/>
          <w:szCs w:val="32"/>
          <w:lang w:eastAsia="zh-CN"/>
        </w:rPr>
        <w:t>中方投资总额</w:t>
      </w:r>
      <w:r>
        <w:rPr>
          <w:rFonts w:hint="eastAsia" w:ascii="仿宋_GB2312" w:hAnsi="宋体" w:eastAsia="仿宋_GB2312" w:cs="宋体"/>
          <w:kern w:val="0"/>
          <w:sz w:val="32"/>
          <w:szCs w:val="32"/>
        </w:rPr>
        <w:t>的6%）。一个项目只能享受一次支持。</w:t>
      </w:r>
    </w:p>
    <w:p w14:paraId="33D2AF58">
      <w:pPr>
        <w:widowControl/>
        <w:shd w:val="clear" w:color="auto" w:fill="FFFFFF"/>
        <w:spacing w:line="56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eastAsia="楷体_GB2312"/>
          <w:sz w:val="32"/>
          <w:szCs w:val="32"/>
        </w:rPr>
        <w:t>贷款利息贴息支持</w:t>
      </w:r>
      <w:r>
        <w:rPr>
          <w:rFonts w:hint="eastAsia" w:ascii="楷体_GB2312" w:hAnsi="楷体_GB2312" w:eastAsia="楷体_GB2312" w:cs="楷体_GB2312"/>
          <w:bCs/>
          <w:color w:val="000000" w:themeColor="text1"/>
          <w:sz w:val="32"/>
          <w:szCs w:val="32"/>
          <w14:textFill>
            <w14:solidFill>
              <w14:schemeClr w14:val="tx1"/>
            </w14:solidFill>
          </w14:textFill>
        </w:rPr>
        <w:t>项目</w:t>
      </w:r>
    </w:p>
    <w:p w14:paraId="7B2FE91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贷款利息是指境内企业主体</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境外控股公司用于对外承包工程项目或境外投资项目所支出的银行贷款利息。包括贷款期限已到期或未到期的贷款。</w:t>
      </w:r>
    </w:p>
    <w:p w14:paraId="011CE124">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对一年及以上（含一年）的贷款给予贴息。其中：</w:t>
      </w:r>
    </w:p>
    <w:p w14:paraId="43475ED1">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（1）人民币贷款贴息利率按照不超过202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年6月30日中国人民银行公布执行的对应贷款年限的LPR利率计算，实际利率低于LPR利率的，按照实际利率计算；</w:t>
      </w:r>
    </w:p>
    <w:p w14:paraId="25D3BFE3">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（2）外币贷款贴息利率按照不超过3%的贷款利率计算，实际利率低于3%的，按照实际利率计算。</w:t>
      </w:r>
    </w:p>
    <w:p w14:paraId="6C35A8C2">
      <w:pPr>
        <w:widowControl/>
        <w:spacing w:line="560" w:lineRule="exact"/>
        <w:ind w:firstLine="640" w:firstLineChars="200"/>
        <w:rPr>
          <w:rFonts w:ascii="仿宋_GB2312" w:hAnsi="宋体" w:eastAsia="仿宋_GB2312" w:cs="仿宋_GB2312"/>
          <w:sz w:val="32"/>
          <w:szCs w:val="30"/>
        </w:rPr>
      </w:pPr>
      <w:r>
        <w:rPr>
          <w:rFonts w:hint="eastAsia" w:ascii="仿宋_GB2312" w:hAnsi="宋体" w:eastAsia="仿宋_GB2312" w:cs="宋体"/>
          <w:kern w:val="0"/>
          <w:sz w:val="32"/>
          <w:szCs w:val="32"/>
        </w:rPr>
        <w:t>对上述实际支付的利息给予不超过50%的支持。</w:t>
      </w:r>
      <w:r>
        <w:rPr>
          <w:rFonts w:hint="eastAsia" w:ascii="仿宋_GB2312" w:eastAsia="仿宋_GB2312"/>
          <w:sz w:val="32"/>
          <w:szCs w:val="32"/>
        </w:rPr>
        <w:t>项目完成时间以支付银行利息单据时间为准。</w:t>
      </w:r>
      <w:r>
        <w:rPr>
          <w:rFonts w:hint="eastAsia" w:ascii="仿宋_GB2312" w:hAnsi="宋体" w:eastAsia="仿宋_GB2312" w:cs="仿宋_GB2312"/>
          <w:sz w:val="32"/>
          <w:szCs w:val="30"/>
        </w:rPr>
        <w:t>已累计支持</w:t>
      </w:r>
      <w:r>
        <w:rPr>
          <w:rFonts w:ascii="仿宋_GB2312" w:hAnsi="宋体" w:eastAsia="仿宋_GB2312" w:cs="仿宋_GB2312"/>
          <w:sz w:val="32"/>
          <w:szCs w:val="30"/>
        </w:rPr>
        <w:t>3</w:t>
      </w:r>
      <w:r>
        <w:rPr>
          <w:rFonts w:hint="eastAsia" w:ascii="仿宋_GB2312" w:hAnsi="宋体" w:eastAsia="仿宋_GB2312" w:cs="仿宋_GB2312"/>
          <w:sz w:val="32"/>
          <w:szCs w:val="30"/>
        </w:rPr>
        <w:t>年的项目，不再给予贴息支持。</w:t>
      </w:r>
    </w:p>
    <w:p w14:paraId="13AFAB88">
      <w:pPr>
        <w:pStyle w:val="8"/>
        <w:spacing w:line="560" w:lineRule="exact"/>
        <w:ind w:left="645" w:firstLine="0" w:firstLineChars="0"/>
        <w:rPr>
          <w:rFonts w:ascii="楷体_GB2312" w:eastAsia="楷体_GB2312"/>
          <w:sz w:val="32"/>
          <w:szCs w:val="32"/>
        </w:rPr>
      </w:pPr>
      <w:r>
        <w:rPr>
          <w:rFonts w:hint="default" w:ascii="楷体_GB2312" w:eastAsia="楷体_GB2312"/>
          <w:sz w:val="32"/>
          <w:szCs w:val="32"/>
        </w:rPr>
        <w:t>3</w:t>
      </w:r>
      <w:r>
        <w:rPr>
          <w:rFonts w:ascii="楷体_GB2312" w:eastAsia="楷体_GB2312"/>
          <w:sz w:val="32"/>
          <w:szCs w:val="32"/>
        </w:rPr>
        <w:t>.</w:t>
      </w:r>
      <w:r>
        <w:rPr>
          <w:rFonts w:hint="eastAsia" w:ascii="楷体_GB2312" w:hAnsi="楷体_GB2312" w:eastAsia="楷体_GB2312" w:cs="楷体_GB2312"/>
          <w:sz w:val="32"/>
          <w:szCs w:val="32"/>
        </w:rPr>
        <w:t>海外投资保险保费支持项目</w:t>
      </w:r>
    </w:p>
    <w:p w14:paraId="3B61317F">
      <w:pPr>
        <w:widowControl/>
        <w:shd w:val="clear" w:color="auto" w:fill="FFFFFF"/>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海外投资保险是指</w:t>
      </w:r>
      <w:r>
        <w:rPr>
          <w:rFonts w:hint="eastAsia" w:ascii="仿宋_GB2312" w:eastAsia="仿宋_GB2312"/>
          <w:sz w:val="32"/>
          <w:szCs w:val="32"/>
        </w:rPr>
        <w:t>境内企业主体向中国出口信用保险公司深圳分公司购买的</w:t>
      </w:r>
      <w:r>
        <w:rPr>
          <w:rFonts w:ascii="仿宋_GB2312" w:eastAsia="仿宋_GB2312"/>
          <w:sz w:val="32"/>
          <w:szCs w:val="32"/>
        </w:rPr>
        <w:t>海外投资保险，具体包括股权保险、债权保险，主要承保因东道国征收、汇兑限制、战争及政治暴乱、违约等方式行为造成的海外投资风险。</w:t>
      </w:r>
      <w:r>
        <w:rPr>
          <w:rFonts w:hint="eastAsia" w:ascii="仿宋_GB2312" w:hAnsi="仿宋_GB2312" w:eastAsia="仿宋_GB2312" w:cs="仿宋_GB2312"/>
          <w:sz w:val="32"/>
          <w:szCs w:val="32"/>
        </w:rPr>
        <w:t>对实际缴纳的保费给予不超过50%的支持</w:t>
      </w:r>
      <w:r>
        <w:rPr>
          <w:rFonts w:hint="eastAsia" w:ascii="仿宋_GB2312" w:eastAsia="仿宋_GB2312"/>
          <w:sz w:val="32"/>
          <w:szCs w:val="32"/>
        </w:rPr>
        <w:t>。</w:t>
      </w:r>
    </w:p>
    <w:p w14:paraId="5387B57E">
      <w:pPr>
        <w:spacing w:line="560" w:lineRule="exact"/>
        <w:ind w:firstLine="640" w:firstLineChars="200"/>
        <w:rPr>
          <w:rFonts w:ascii="楷体_GB2312" w:hAnsi="楷体_GB2312" w:eastAsia="楷体_GB2312" w:cs="楷体_GB2312"/>
          <w:sz w:val="32"/>
          <w:szCs w:val="32"/>
          <w:highlight w:val="none"/>
        </w:rPr>
      </w:pPr>
      <w:bookmarkStart w:id="0" w:name="_Hlk39658041"/>
      <w:r>
        <w:rPr>
          <w:rFonts w:hint="default" w:ascii="楷体_GB2312" w:hAnsi="楷体_GB2312" w:eastAsia="楷体_GB2312" w:cs="楷体_GB2312"/>
          <w:sz w:val="32"/>
          <w:szCs w:val="32"/>
          <w:highlight w:val="none"/>
        </w:rPr>
        <w:t>4</w:t>
      </w:r>
      <w:r>
        <w:rPr>
          <w:rFonts w:ascii="楷体_GB2312" w:hAnsi="楷体_GB2312" w:eastAsia="楷体_GB2312" w:cs="楷体_GB2312"/>
          <w:sz w:val="32"/>
          <w:szCs w:val="32"/>
          <w:highlight w:val="none"/>
        </w:rPr>
        <w:t>.</w:t>
      </w:r>
      <w:bookmarkStart w:id="1" w:name="_Hlk108260741"/>
      <w:r>
        <w:rPr>
          <w:rFonts w:hint="eastAsia" w:ascii="楷体_GB2312" w:hAnsi="楷体_GB2312" w:eastAsia="楷体_GB2312" w:cs="楷体_GB2312"/>
          <w:sz w:val="32"/>
          <w:szCs w:val="32"/>
          <w:highlight w:val="none"/>
          <w:lang w:eastAsia="zh-CN"/>
        </w:rPr>
        <w:t>省级</w:t>
      </w:r>
      <w:r>
        <w:rPr>
          <w:rFonts w:hint="eastAsia" w:ascii="楷体_GB2312" w:hAnsi="楷体_GB2312" w:eastAsia="楷体_GB2312" w:cs="楷体_GB2312"/>
          <w:sz w:val="32"/>
          <w:szCs w:val="32"/>
          <w:highlight w:val="none"/>
        </w:rPr>
        <w:t>境外经贸合作区建设支持</w:t>
      </w:r>
      <w:bookmarkEnd w:id="1"/>
      <w:r>
        <w:rPr>
          <w:rFonts w:hint="eastAsia" w:ascii="楷体_GB2312" w:hAnsi="楷体_GB2312" w:eastAsia="楷体_GB2312" w:cs="楷体_GB2312"/>
          <w:sz w:val="32"/>
          <w:szCs w:val="32"/>
          <w:highlight w:val="none"/>
        </w:rPr>
        <w:t>项目</w:t>
      </w:r>
    </w:p>
    <w:bookmarkEnd w:id="0"/>
    <w:p w14:paraId="7508B3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除参照对外承包工程项目或境外投资项目给予资助外，对</w:t>
      </w:r>
      <w:r>
        <w:rPr>
          <w:rFonts w:hint="eastAsia" w:ascii="仿宋_GB2312" w:hAnsi="仿宋_GB2312" w:eastAsia="仿宋_GB2312" w:cs="仿宋_GB2312"/>
          <w:sz w:val="32"/>
          <w:szCs w:val="32"/>
          <w:lang w:eastAsia="zh-CN"/>
        </w:rPr>
        <w:t>省级境外经贸合作区</w:t>
      </w:r>
      <w:r>
        <w:rPr>
          <w:rFonts w:hint="eastAsia" w:ascii="仿宋_GB2312" w:hAnsi="仿宋_GB2312" w:eastAsia="仿宋_GB2312" w:cs="仿宋_GB2312"/>
          <w:sz w:val="32"/>
          <w:szCs w:val="32"/>
        </w:rPr>
        <w:t>投资主体用于园区基础设施建设、园区公共服务平台建设以及组织园区招商活动的</w:t>
      </w:r>
      <w:r>
        <w:rPr>
          <w:rFonts w:hint="eastAsia" w:ascii="仿宋_GB2312" w:hAnsi="仿宋_GB2312" w:eastAsia="仿宋_GB2312" w:cs="仿宋_GB2312"/>
          <w:sz w:val="32"/>
          <w:szCs w:val="32"/>
          <w:lang w:eastAsia="zh-CN"/>
        </w:rPr>
        <w:t>推介</w:t>
      </w:r>
      <w:r>
        <w:rPr>
          <w:rFonts w:hint="eastAsia" w:ascii="仿宋_GB2312" w:hAnsi="仿宋_GB2312" w:eastAsia="仿宋_GB2312" w:cs="仿宋_GB2312"/>
          <w:sz w:val="32"/>
          <w:szCs w:val="32"/>
        </w:rPr>
        <w:t>费用给予</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lang w:val="en-US" w:eastAsia="zh-CN"/>
        </w:rPr>
        <w:t>50%的</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w:t>
      </w:r>
    </w:p>
    <w:p w14:paraId="2166ED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持内容包括：为境外园区基础设施建设、公共服务设施平台建设、组织园区招商活动而产生的费用，包括土地平整、道路修建、用电设施建设、环保设施建设、公共仓储建设、园区公共饭堂等公共设施建设所产生的费用，以及在境内组织举办园区招商活动</w:t>
      </w:r>
      <w:r>
        <w:rPr>
          <w:rFonts w:hint="eastAsia" w:ascii="仿宋_GB2312" w:hAnsi="仿宋_GB2312" w:eastAsia="仿宋_GB2312" w:cs="仿宋_GB2312"/>
          <w:sz w:val="32"/>
          <w:szCs w:val="32"/>
          <w:lang w:eastAsia="zh-CN"/>
        </w:rPr>
        <w:t>场地和设备租赁</w:t>
      </w:r>
      <w:r>
        <w:rPr>
          <w:rFonts w:hint="eastAsia" w:ascii="仿宋_GB2312" w:hAnsi="仿宋_GB2312" w:eastAsia="仿宋_GB2312" w:cs="仿宋_GB2312"/>
          <w:sz w:val="32"/>
          <w:szCs w:val="32"/>
        </w:rPr>
        <w:t>等产生的费用。</w:t>
      </w:r>
    </w:p>
    <w:p w14:paraId="5D89B84C">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（二）支持标准</w:t>
      </w:r>
    </w:p>
    <w:p w14:paraId="79DD8F89">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0"/>
        </w:rPr>
        <w:t>1.对企业符合条件的</w:t>
      </w:r>
      <w:r>
        <w:rPr>
          <w:rFonts w:hint="eastAsia" w:ascii="仿宋_GB2312" w:hAnsi="仿宋_GB2312" w:eastAsia="仿宋_GB2312" w:cs="仿宋_GB2312"/>
          <w:sz w:val="32"/>
          <w:szCs w:val="32"/>
        </w:rPr>
        <w:t>前期费用、贷款利息贴息、海外投资保险保费、</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境外经贸合作区建设等</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给予支持，单个项目支持金额不少于5万元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单家企业年度资助不超过</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000万元。</w:t>
      </w:r>
    </w:p>
    <w:p w14:paraId="4D30B6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2.以外币支付相关费用的，按照中国人民银行公布的</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年6月30日人民币汇率中间价为依据，折算为人民币计算及资助。</w:t>
      </w:r>
    </w:p>
    <w:p w14:paraId="2A59EBE9">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、受理信息</w:t>
      </w:r>
    </w:p>
    <w:p w14:paraId="2BDB5A2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14:paraId="6CCE96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14:paraId="4C327FD5">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14:paraId="2BAA5D81">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1.网络填报时间：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7</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16</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14:paraId="6FB58722">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7</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8</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17:45。</w:t>
      </w:r>
    </w:p>
    <w:p w14:paraId="529239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14:paraId="16775E7B">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14:paraId="78A4DE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14:paraId="06C4C2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（预约指南：“i深圳”APP或关注“深圳行政服务大厅”微信公众号。操作流程：【办事预约】或【预约取号】—【深圳市行政服务大厅西厅】）。</w:t>
      </w:r>
    </w:p>
    <w:p w14:paraId="50FEAC28">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、办理流程</w:t>
      </w:r>
      <w:r>
        <w:rPr>
          <w:rFonts w:hint="eastAsia" w:ascii="黑体" w:hAnsi="黑体" w:eastAsia="黑体"/>
          <w:sz w:val="32"/>
          <w:szCs w:val="32"/>
        </w:rPr>
        <w:tab/>
      </w:r>
    </w:p>
    <w:p w14:paraId="0C693409">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w:t>
      </w:r>
      <w:r>
        <w:rPr>
          <w:rFonts w:hint="eastAsia" w:ascii="仿宋_GB2312" w:hAnsi="仿宋_GB2312" w:eastAsia="仿宋_GB2312"/>
          <w:sz w:val="32"/>
          <w:szCs w:val="32"/>
          <w:highlight w:val="none"/>
          <w:lang w:eastAsia="zh-CN" w:bidi="ar"/>
        </w:rPr>
        <w:t>下达资助计划</w:t>
      </w:r>
      <w:r>
        <w:rPr>
          <w:rFonts w:hint="eastAsia" w:ascii="仿宋_GB2312" w:hAnsi="仿宋_GB2312" w:eastAsia="仿宋_GB2312"/>
          <w:sz w:val="32"/>
          <w:szCs w:val="32"/>
          <w:lang w:bidi="ar"/>
        </w:rPr>
        <w:t>——通知申报单位提交拨付资料——拨付资金。</w:t>
      </w:r>
    </w:p>
    <w:p w14:paraId="575B31F4">
      <w:pPr>
        <w:spacing w:line="560" w:lineRule="exact"/>
        <w:ind w:firstLine="640" w:firstLineChars="200"/>
        <w:rPr>
          <w:rFonts w:ascii="仿宋_GB2312" w:eastAsia="仿宋_GB2312"/>
          <w:sz w:val="32"/>
          <w:szCs w:val="32"/>
        </w:rPr>
      </w:pP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A6F0">
    <w:pPr>
      <w:pStyle w:val="5"/>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8B64C">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A8B64C">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2512B80">
    <w:pPr>
      <w:pStyle w:val="5"/>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AC43BA"/>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6256E"/>
    <w:rsid w:val="00792F99"/>
    <w:rsid w:val="008A41D9"/>
    <w:rsid w:val="008D2631"/>
    <w:rsid w:val="009777B5"/>
    <w:rsid w:val="00AB2DF3"/>
    <w:rsid w:val="00AC43BA"/>
    <w:rsid w:val="00C568D3"/>
    <w:rsid w:val="00C6774D"/>
    <w:rsid w:val="00CF0B21"/>
    <w:rsid w:val="00CF6262"/>
    <w:rsid w:val="00D23383"/>
    <w:rsid w:val="00D43D15"/>
    <w:rsid w:val="00DB49EE"/>
    <w:rsid w:val="00EE10EA"/>
    <w:rsid w:val="00EE4AC6"/>
    <w:rsid w:val="00FB07DE"/>
    <w:rsid w:val="01593A2F"/>
    <w:rsid w:val="032419EF"/>
    <w:rsid w:val="066703DC"/>
    <w:rsid w:val="0CB31AF0"/>
    <w:rsid w:val="0FE15D1C"/>
    <w:rsid w:val="130D5CAA"/>
    <w:rsid w:val="13707E77"/>
    <w:rsid w:val="1417343F"/>
    <w:rsid w:val="17496A4C"/>
    <w:rsid w:val="17AFC59A"/>
    <w:rsid w:val="187D2069"/>
    <w:rsid w:val="19BA59DA"/>
    <w:rsid w:val="1AE30006"/>
    <w:rsid w:val="1FF79A80"/>
    <w:rsid w:val="1FFF0AFE"/>
    <w:rsid w:val="2028784D"/>
    <w:rsid w:val="203B5C97"/>
    <w:rsid w:val="22AA4F68"/>
    <w:rsid w:val="25CC70A5"/>
    <w:rsid w:val="27EE6CD9"/>
    <w:rsid w:val="28FB65E3"/>
    <w:rsid w:val="29236148"/>
    <w:rsid w:val="29F60060"/>
    <w:rsid w:val="2BD609A2"/>
    <w:rsid w:val="2CED3247"/>
    <w:rsid w:val="2F077C5B"/>
    <w:rsid w:val="3001126A"/>
    <w:rsid w:val="33FD570F"/>
    <w:rsid w:val="357B3E57"/>
    <w:rsid w:val="370B567D"/>
    <w:rsid w:val="37FFF8B9"/>
    <w:rsid w:val="38FFD0CD"/>
    <w:rsid w:val="39B6399E"/>
    <w:rsid w:val="3A830F6C"/>
    <w:rsid w:val="3F0FCF6D"/>
    <w:rsid w:val="40324F91"/>
    <w:rsid w:val="44AD3575"/>
    <w:rsid w:val="48800C4E"/>
    <w:rsid w:val="49D47F76"/>
    <w:rsid w:val="4E3F4083"/>
    <w:rsid w:val="4F604300"/>
    <w:rsid w:val="5246447D"/>
    <w:rsid w:val="5425781E"/>
    <w:rsid w:val="54B708C9"/>
    <w:rsid w:val="56525023"/>
    <w:rsid w:val="56EF3235"/>
    <w:rsid w:val="577C1811"/>
    <w:rsid w:val="57AA58DC"/>
    <w:rsid w:val="58615FC7"/>
    <w:rsid w:val="587F212C"/>
    <w:rsid w:val="5A1E6BC6"/>
    <w:rsid w:val="5A6F6078"/>
    <w:rsid w:val="5DBC56FB"/>
    <w:rsid w:val="5EC45CEC"/>
    <w:rsid w:val="5F5F0B66"/>
    <w:rsid w:val="5FBC8A2D"/>
    <w:rsid w:val="5FFF4D91"/>
    <w:rsid w:val="650A437B"/>
    <w:rsid w:val="69E50FEC"/>
    <w:rsid w:val="6B7258F8"/>
    <w:rsid w:val="6BCE504B"/>
    <w:rsid w:val="6BDD10C1"/>
    <w:rsid w:val="6C7F9E2D"/>
    <w:rsid w:val="6C992383"/>
    <w:rsid w:val="6D7E0E05"/>
    <w:rsid w:val="6F2A0D2B"/>
    <w:rsid w:val="6FB63E20"/>
    <w:rsid w:val="6FBFC2AA"/>
    <w:rsid w:val="70267C90"/>
    <w:rsid w:val="733BF76F"/>
    <w:rsid w:val="734A8790"/>
    <w:rsid w:val="73622AEF"/>
    <w:rsid w:val="745B5E75"/>
    <w:rsid w:val="7491168D"/>
    <w:rsid w:val="77C53518"/>
    <w:rsid w:val="7A27030F"/>
    <w:rsid w:val="7D2C26CE"/>
    <w:rsid w:val="7D5F9FC0"/>
    <w:rsid w:val="7D64692A"/>
    <w:rsid w:val="7DEBE768"/>
    <w:rsid w:val="7E4576C1"/>
    <w:rsid w:val="7E6FA923"/>
    <w:rsid w:val="7E9FE8D9"/>
    <w:rsid w:val="7EE42032"/>
    <w:rsid w:val="7F4A346E"/>
    <w:rsid w:val="7F7F04CB"/>
    <w:rsid w:val="7FDA06D7"/>
    <w:rsid w:val="7FEFFB34"/>
    <w:rsid w:val="7FF1A71A"/>
    <w:rsid w:val="7FF7DB0E"/>
    <w:rsid w:val="7FFCB4EC"/>
    <w:rsid w:val="97B7377F"/>
    <w:rsid w:val="A5AFEB10"/>
    <w:rsid w:val="A7BD66FF"/>
    <w:rsid w:val="B1FBA825"/>
    <w:rsid w:val="B925FAC1"/>
    <w:rsid w:val="BA162266"/>
    <w:rsid w:val="BBEF2197"/>
    <w:rsid w:val="BDBF05A4"/>
    <w:rsid w:val="BE37F75F"/>
    <w:rsid w:val="BEF11AE0"/>
    <w:rsid w:val="BF7B0AE4"/>
    <w:rsid w:val="BFDEB50E"/>
    <w:rsid w:val="BFFF2752"/>
    <w:rsid w:val="CCFF8CCC"/>
    <w:rsid w:val="CEBF1A82"/>
    <w:rsid w:val="CF5B01B3"/>
    <w:rsid w:val="CFDD5583"/>
    <w:rsid w:val="D5FBC0B3"/>
    <w:rsid w:val="D6E742FF"/>
    <w:rsid w:val="D93E0D19"/>
    <w:rsid w:val="D9FB2D81"/>
    <w:rsid w:val="DEF99DDC"/>
    <w:rsid w:val="DFF1AF3D"/>
    <w:rsid w:val="DFFBB0A9"/>
    <w:rsid w:val="DFFEED29"/>
    <w:rsid w:val="DFFFD7D0"/>
    <w:rsid w:val="E32D8472"/>
    <w:rsid w:val="E7FB508D"/>
    <w:rsid w:val="EBFF044C"/>
    <w:rsid w:val="ECDFA842"/>
    <w:rsid w:val="EEFDEC0F"/>
    <w:rsid w:val="EF776047"/>
    <w:rsid w:val="EFFA4893"/>
    <w:rsid w:val="F2FF0A7B"/>
    <w:rsid w:val="F76FAD5F"/>
    <w:rsid w:val="F77FBEC7"/>
    <w:rsid w:val="F7D76515"/>
    <w:rsid w:val="F97D5EF3"/>
    <w:rsid w:val="F9EF48EB"/>
    <w:rsid w:val="FAFE07C1"/>
    <w:rsid w:val="FB3FE822"/>
    <w:rsid w:val="FBF53893"/>
    <w:rsid w:val="FBF96D07"/>
    <w:rsid w:val="FBFB0013"/>
    <w:rsid w:val="FBFFC0CE"/>
    <w:rsid w:val="FCD33108"/>
    <w:rsid w:val="FDFF8752"/>
    <w:rsid w:val="FEFE8393"/>
    <w:rsid w:val="FF7DCB54"/>
    <w:rsid w:val="FF7F0FDC"/>
    <w:rsid w:val="FFEED247"/>
    <w:rsid w:val="FFF3F94D"/>
    <w:rsid w:val="FFFDE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annotation text"/>
    <w:basedOn w:val="1"/>
    <w:qFormat/>
    <w:uiPriority w:val="0"/>
    <w:pPr>
      <w:jc w:val="left"/>
    </w:pPr>
  </w:style>
  <w:style w:type="paragraph" w:styleId="4">
    <w:name w:val="Plain Text"/>
    <w:basedOn w:val="1"/>
    <w:semiHidden/>
    <w:qFormat/>
    <w:uiPriority w:val="0"/>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qFormat/>
    <w:uiPriority w:val="0"/>
    <w:pPr>
      <w:ind w:firstLine="420" w:firstLineChars="100"/>
    </w:p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4310</Words>
  <Characters>4480</Characters>
  <Lines>52</Lines>
  <Paragraphs>14</Paragraphs>
  <TotalTime>319</TotalTime>
  <ScaleCrop>false</ScaleCrop>
  <LinksUpToDate>false</LinksUpToDate>
  <CharactersWithSpaces>4488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2021-08-02T17:25:00Z</dcterms:created>
  <dc:creator>青</dc:creator>
  <cp:lastModifiedBy>姬艳丽</cp:lastModifiedBy>
  <cp:lastPrinted>2024-07-19T23:30:00Z</cp:lastPrinted>
  <dcterms:modified xsi:type="dcterms:W3CDTF">2024-07-25T08:25:34Z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EB12D988EF5F454DBA895A5F01BC82D5_13</vt:lpwstr>
  </property>
</Properties>
</file>