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80" w:lineRule="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eastAsia="zh-CN"/>
          <w14:textFill>
            <w14:solidFill>
              <w14:schemeClr w14:val="tx1"/>
            </w14:solidFill>
          </w14:textFill>
        </w:rPr>
        <w:t>：</w:t>
      </w:r>
    </w:p>
    <w:p>
      <w:pPr>
        <w:widowControl/>
        <w:shd w:val="clear" w:color="auto" w:fill="FFFFFF"/>
        <w:spacing w:line="480" w:lineRule="auto"/>
        <w:jc w:val="center"/>
        <w:rPr>
          <w:rFonts w:ascii="宋体" w:hAnsi="宋体" w:eastAsia="宋体" w:cs="宋体"/>
          <w:b/>
          <w:color w:val="000000" w:themeColor="text1"/>
          <w:kern w:val="0"/>
          <w:sz w:val="44"/>
          <w:szCs w:val="44"/>
          <w14:textFill>
            <w14:solidFill>
              <w14:schemeClr w14:val="tx1"/>
            </w14:solidFill>
          </w14:textFill>
        </w:rPr>
      </w:pPr>
    </w:p>
    <w:p>
      <w:pPr>
        <w:widowControl/>
        <w:shd w:val="clear" w:color="auto" w:fill="FFFFFF"/>
        <w:spacing w:line="480" w:lineRule="auto"/>
        <w:jc w:val="center"/>
        <w:rPr>
          <w:rFonts w:ascii="宋体" w:hAnsi="宋体" w:eastAsia="宋体" w:cs="宋体"/>
          <w:b/>
          <w:color w:val="000000" w:themeColor="text1"/>
          <w:kern w:val="0"/>
          <w:sz w:val="44"/>
          <w:szCs w:val="44"/>
          <w14:textFill>
            <w14:solidFill>
              <w14:schemeClr w14:val="tx1"/>
            </w14:solidFill>
          </w14:textFill>
        </w:rPr>
      </w:pPr>
      <w:bookmarkStart w:id="0" w:name="_GoBack"/>
      <w:r>
        <w:rPr>
          <w:rFonts w:ascii="宋体" w:hAnsi="宋体" w:eastAsia="宋体" w:cs="宋体"/>
          <w:b/>
          <w:color w:val="000000" w:themeColor="text1"/>
          <w:kern w:val="0"/>
          <w:sz w:val="44"/>
          <w:szCs w:val="44"/>
          <w14:textFill>
            <w14:solidFill>
              <w14:schemeClr w14:val="tx1"/>
            </w14:solidFill>
          </w14:textFill>
        </w:rPr>
        <w:t>20</w:t>
      </w:r>
      <w:r>
        <w:rPr>
          <w:rFonts w:hint="eastAsia" w:ascii="宋体" w:hAnsi="宋体" w:eastAsia="宋体" w:cs="宋体"/>
          <w:b/>
          <w:color w:val="000000" w:themeColor="text1"/>
          <w:kern w:val="0"/>
          <w:sz w:val="44"/>
          <w:szCs w:val="44"/>
          <w:lang w:val="en-US" w:eastAsia="zh-CN"/>
          <w14:textFill>
            <w14:solidFill>
              <w14:schemeClr w14:val="tx1"/>
            </w14:solidFill>
          </w14:textFill>
        </w:rPr>
        <w:t>2</w:t>
      </w:r>
      <w:r>
        <w:rPr>
          <w:rFonts w:hint="default" w:ascii="宋体" w:hAnsi="宋体" w:eastAsia="宋体" w:cs="宋体"/>
          <w:b/>
          <w:color w:val="000000" w:themeColor="text1"/>
          <w:kern w:val="0"/>
          <w:sz w:val="44"/>
          <w:szCs w:val="44"/>
          <w:lang w:eastAsia="zh-CN"/>
          <w14:textFill>
            <w14:solidFill>
              <w14:schemeClr w14:val="tx1"/>
            </w14:solidFill>
          </w14:textFill>
        </w:rPr>
        <w:t>2</w:t>
      </w:r>
      <w:r>
        <w:rPr>
          <w:rFonts w:ascii="宋体" w:hAnsi="宋体" w:eastAsia="宋体" w:cs="宋体"/>
          <w:b/>
          <w:color w:val="000000" w:themeColor="text1"/>
          <w:kern w:val="0"/>
          <w:sz w:val="44"/>
          <w:szCs w:val="44"/>
          <w14:textFill>
            <w14:solidFill>
              <w14:schemeClr w14:val="tx1"/>
            </w14:solidFill>
          </w14:textFill>
        </w:rPr>
        <w:t>年度深圳市总部企业复查和奖励与补助申报指南</w:t>
      </w:r>
    </w:p>
    <w:bookmarkEnd w:id="0"/>
    <w:p>
      <w:pPr>
        <w:widowControl/>
        <w:shd w:val="clear" w:color="auto" w:fill="FFFFFF"/>
        <w:spacing w:line="480" w:lineRule="auto"/>
        <w:jc w:val="center"/>
        <w:rPr>
          <w:rFonts w:ascii="宋体" w:hAnsi="宋体" w:eastAsia="宋体" w:cs="宋体"/>
          <w:b/>
          <w:color w:val="000000" w:themeColor="text1"/>
          <w:kern w:val="0"/>
          <w:sz w:val="44"/>
          <w:szCs w:val="44"/>
          <w14:textFill>
            <w14:solidFill>
              <w14:schemeClr w14:val="tx1"/>
            </w14:solidFill>
          </w14:textFill>
        </w:rPr>
      </w:pP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根据《深圳市鼓励总部企业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高质量</w:t>
      </w:r>
      <w:r>
        <w:rPr>
          <w:rFonts w:hint="eastAsia" w:ascii="仿宋_GB2312" w:hAnsi="微软雅黑" w:eastAsia="仿宋_GB2312" w:cs="宋体"/>
          <w:color w:val="000000" w:themeColor="text1"/>
          <w:kern w:val="0"/>
          <w:sz w:val="32"/>
          <w:szCs w:val="32"/>
          <w14:textFill>
            <w14:solidFill>
              <w14:schemeClr w14:val="tx1"/>
            </w14:solidFill>
          </w14:textFill>
        </w:rPr>
        <w:t>发展实施办法》（深府规〔20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21</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宋体"/>
          <w:color w:val="000000" w:themeColor="text1"/>
          <w:kern w:val="0"/>
          <w:sz w:val="32"/>
          <w:szCs w:val="32"/>
          <w14:textFill>
            <w14:solidFill>
              <w14:schemeClr w14:val="tx1"/>
            </w14:solidFill>
          </w14:textFill>
        </w:rPr>
        <w:t>号，以下简称《实施办法》）有关规定，为做好</w:t>
      </w:r>
      <w:r>
        <w:rPr>
          <w:rFonts w:ascii="仿宋_GB2312" w:hAnsi="微软雅黑" w:eastAsia="仿宋_GB2312" w:cs="宋体"/>
          <w:color w:val="000000" w:themeColor="text1"/>
          <w:kern w:val="0"/>
          <w:sz w:val="32"/>
          <w:szCs w:val="32"/>
          <w14:textFill>
            <w14:solidFill>
              <w14:schemeClr w14:val="tx1"/>
            </w14:solidFill>
          </w14:textFill>
        </w:rPr>
        <w:t>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default" w:ascii="仿宋_GB2312" w:hAnsi="微软雅黑" w:eastAsia="仿宋_GB2312" w:cs="宋体"/>
          <w:color w:val="000000" w:themeColor="text1"/>
          <w:kern w:val="0"/>
          <w:sz w:val="32"/>
          <w:szCs w:val="32"/>
          <w:lang w:eastAsia="zh-CN"/>
          <w14:textFill>
            <w14:solidFill>
              <w14:schemeClr w14:val="tx1"/>
            </w14:solidFill>
          </w14:textFill>
        </w:rPr>
        <w:t>2</w:t>
      </w:r>
      <w:r>
        <w:rPr>
          <w:rFonts w:ascii="仿宋_GB2312" w:hAnsi="微软雅黑" w:eastAsia="仿宋_GB2312" w:cs="宋体"/>
          <w:color w:val="000000" w:themeColor="text1"/>
          <w:kern w:val="0"/>
          <w:sz w:val="32"/>
          <w:szCs w:val="32"/>
          <w14:textFill>
            <w14:solidFill>
              <w14:schemeClr w14:val="tx1"/>
            </w14:solidFill>
          </w14:textFill>
        </w:rPr>
        <w:t>年度深圳市总部企业复查和奖励与补助相关工作</w:t>
      </w:r>
      <w:r>
        <w:rPr>
          <w:rFonts w:hint="eastAsia" w:ascii="仿宋_GB2312" w:hAnsi="微软雅黑" w:eastAsia="仿宋_GB2312" w:cs="宋体"/>
          <w:color w:val="000000" w:themeColor="text1"/>
          <w:kern w:val="0"/>
          <w:sz w:val="32"/>
          <w:szCs w:val="32"/>
          <w14:textFill>
            <w14:solidFill>
              <w14:schemeClr w14:val="tx1"/>
            </w14:solidFill>
          </w14:textFill>
        </w:rPr>
        <w:t>，特制定本申报指南。</w:t>
      </w: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一、申报条件</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符合《实施办法》</w:t>
      </w:r>
      <w:r>
        <w:rPr>
          <w:rFonts w:ascii="仿宋_GB2312" w:hAnsi="微软雅黑" w:eastAsia="仿宋_GB2312" w:cs="宋体"/>
          <w:color w:val="000000" w:themeColor="text1"/>
          <w:kern w:val="0"/>
          <w:sz w:val="32"/>
          <w:szCs w:val="32"/>
          <w14:textFill>
            <w14:solidFill>
              <w14:schemeClr w14:val="tx1"/>
            </w14:solidFill>
          </w14:textFill>
        </w:rPr>
        <w:t>规定条件，</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已向</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提交申请，并经审核</w:t>
      </w:r>
      <w:r>
        <w:rPr>
          <w:rFonts w:ascii="仿宋_GB2312" w:hAnsi="微软雅黑" w:eastAsia="仿宋_GB2312" w:cs="宋体"/>
          <w:color w:val="000000" w:themeColor="text1"/>
          <w:kern w:val="0"/>
          <w:sz w:val="32"/>
          <w:szCs w:val="32"/>
          <w14:textFill>
            <w14:solidFill>
              <w14:schemeClr w14:val="tx1"/>
            </w14:solidFill>
          </w14:textFill>
        </w:rPr>
        <w:t>通过的企业。</w:t>
      </w:r>
    </w:p>
    <w:p>
      <w:pPr>
        <w:widowControl/>
        <w:shd w:val="clear" w:color="auto" w:fill="FFFFFF"/>
        <w:wordWrap w:val="0"/>
        <w:spacing w:line="480" w:lineRule="auto"/>
        <w:ind w:firstLine="645"/>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二、申报和审核程序</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（一）申报受理时间</w:t>
      </w:r>
    </w:p>
    <w:p>
      <w:pPr>
        <w:widowControl/>
        <w:shd w:val="clear" w:color="auto" w:fill="FFFFFF"/>
        <w:wordWrap w:val="0"/>
        <w:spacing w:line="480" w:lineRule="auto"/>
        <w:ind w:firstLine="64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1.申报受理时间：</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即日起</w:t>
      </w:r>
      <w:r>
        <w:rPr>
          <w:rFonts w:ascii="仿宋_GB2312" w:hAnsi="微软雅黑" w:eastAsia="仿宋_GB2312" w:cs="宋体"/>
          <w:color w:val="000000" w:themeColor="text1"/>
          <w:kern w:val="0"/>
          <w:sz w:val="32"/>
          <w:szCs w:val="32"/>
          <w14:textFill>
            <w14:solidFill>
              <w14:schemeClr w14:val="tx1"/>
            </w14:solidFill>
          </w14:textFill>
        </w:rPr>
        <w:t>至</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w:t>
      </w:r>
      <w:r>
        <w:rPr>
          <w:rFonts w:hint="default" w:ascii="仿宋_GB2312" w:hAnsi="微软雅黑" w:eastAsia="仿宋_GB2312" w:cs="宋体"/>
          <w:color w:val="000000" w:themeColor="text1"/>
          <w:kern w:val="0"/>
          <w:sz w:val="32"/>
          <w:szCs w:val="32"/>
          <w:lang w:eastAsia="zh-CN"/>
          <w14:textFill>
            <w14:solidFill>
              <w14:schemeClr w14:val="tx1"/>
            </w14:solidFill>
          </w14:textFill>
        </w:rPr>
        <w:t>2</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年</w:t>
      </w:r>
      <w:r>
        <w:rPr>
          <w:rFonts w:hint="default" w:ascii="仿宋_GB2312" w:hAnsi="微软雅黑" w:eastAsia="仿宋_GB2312" w:cs="宋体"/>
          <w:color w:val="000000" w:themeColor="text1"/>
          <w:kern w:val="0"/>
          <w:sz w:val="32"/>
          <w:szCs w:val="32"/>
          <w:lang w:eastAsia="zh-CN"/>
          <w14:textFill>
            <w14:solidFill>
              <w14:schemeClr w14:val="tx1"/>
            </w14:solidFill>
          </w14:textFill>
        </w:rPr>
        <w:t>7</w:t>
      </w:r>
      <w:r>
        <w:rPr>
          <w:rFonts w:hint="eastAsia" w:ascii="仿宋_GB2312" w:hAnsi="微软雅黑" w:eastAsia="仿宋_GB2312" w:cs="宋体"/>
          <w:color w:val="000000" w:themeColor="text1"/>
          <w:kern w:val="0"/>
          <w:sz w:val="32"/>
          <w:szCs w:val="32"/>
          <w14:textFill>
            <w14:solidFill>
              <w14:schemeClr w14:val="tx1"/>
            </w14:solidFill>
          </w14:textFill>
        </w:rPr>
        <w:t>月</w:t>
      </w:r>
      <w:r>
        <w:rPr>
          <w:rFonts w:hint="default" w:ascii="仿宋_GB2312" w:hAnsi="微软雅黑" w:eastAsia="仿宋_GB2312" w:cs="宋体"/>
          <w:color w:val="000000" w:themeColor="text1"/>
          <w:kern w:val="0"/>
          <w:sz w:val="32"/>
          <w:szCs w:val="32"/>
          <w:highlight w:val="none"/>
          <w:lang w:val="en" w:eastAsia="zh-CN"/>
          <w14:textFill>
            <w14:solidFill>
              <w14:schemeClr w14:val="tx1"/>
            </w14:solidFill>
          </w14:textFill>
        </w:rPr>
        <w:t>20</w:t>
      </w:r>
      <w:r>
        <w:rPr>
          <w:rFonts w:hint="eastAsia" w:ascii="仿宋_GB2312" w:hAnsi="微软雅黑" w:eastAsia="仿宋_GB2312" w:cs="宋体"/>
          <w:color w:val="000000" w:themeColor="text1"/>
          <w:kern w:val="0"/>
          <w:sz w:val="32"/>
          <w:szCs w:val="32"/>
          <w14:textFill>
            <w14:solidFill>
              <w14:schemeClr w14:val="tx1"/>
            </w14:solidFill>
          </w14:textFill>
        </w:rPr>
        <w:t>日。</w:t>
      </w:r>
    </w:p>
    <w:p>
      <w:pPr>
        <w:widowControl/>
        <w:shd w:val="clear" w:color="auto" w:fill="FFFFFF"/>
        <w:wordWrap w:val="0"/>
        <w:spacing w:line="480" w:lineRule="auto"/>
        <w:rPr>
          <w:rFonts w:hint="eastAsia"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（二）有关部门审核及核算</w:t>
      </w:r>
    </w:p>
    <w:p>
      <w:pPr>
        <w:widowControl/>
        <w:shd w:val="clear" w:color="auto" w:fill="FFFFFF"/>
        <w:wordWrap w:val="0"/>
        <w:spacing w:line="480" w:lineRule="auto"/>
        <w:ind w:firstLine="645"/>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1.市</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发展改革</w:t>
      </w:r>
      <w:r>
        <w:rPr>
          <w:rFonts w:hint="eastAsia" w:ascii="仿宋_GB2312" w:hAnsi="微软雅黑" w:eastAsia="仿宋_GB2312" w:cs="宋体"/>
          <w:color w:val="000000" w:themeColor="text1"/>
          <w:kern w:val="0"/>
          <w:sz w:val="32"/>
          <w:szCs w:val="32"/>
          <w14:textFill>
            <w14:solidFill>
              <w14:schemeClr w14:val="tx1"/>
            </w14:solidFill>
          </w14:textFill>
        </w:rPr>
        <w:t>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初审，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负责对申报单位基本条件、材料合规性、申报领域及重复资助情况进行形式审查。</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.市</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税务</w:t>
      </w:r>
      <w:r>
        <w:rPr>
          <w:rFonts w:hint="eastAsia" w:ascii="仿宋_GB2312" w:hAnsi="微软雅黑" w:eastAsia="仿宋_GB2312" w:cs="宋体"/>
          <w:color w:val="000000" w:themeColor="text1"/>
          <w:kern w:val="0"/>
          <w:sz w:val="32"/>
          <w:szCs w:val="32"/>
          <w14:textFill>
            <w14:solidFill>
              <w14:schemeClr w14:val="tx1"/>
            </w14:solidFill>
          </w14:textFill>
        </w:rPr>
        <w:t>、统计部门负责审核核算企业形成地方财力和在深统计的产值规模（营业收入）；市市场监管部门负责审核企业的注册登记和股权情况；市规划国土部门负责审核企业在本市拥有自有办公用房情况。</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.市发展改革部门根据市税务、统计、市场监管、规划国土等有关部门的核算结果，对申报企业是否符合总部企业条件进行复查，以及对申报企业申报的贡献奖、落户奖、租房及购房补助金额进行核算。</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（三）复查结果反馈和奖励补助公示</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市发展改革部门将复查结果反馈企业，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一</w:t>
      </w:r>
      <w:r>
        <w:rPr>
          <w:rFonts w:hint="eastAsia" w:ascii="仿宋_GB2312" w:hAnsi="微软雅黑" w:eastAsia="仿宋_GB2312" w:cs="宋体"/>
          <w:color w:val="000000" w:themeColor="text1"/>
          <w:kern w:val="0"/>
          <w:sz w:val="32"/>
          <w:szCs w:val="32"/>
          <w14:textFill>
            <w14:solidFill>
              <w14:schemeClr w14:val="tx1"/>
            </w14:solidFill>
          </w14:textFill>
        </w:rPr>
        <w:t>年复查不符合条件的企业，由行业主管部门会同企业落户区政府进行约谈，连续两年复查不符合条件的企业调整出总部企业名录。</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市发展改革部门将奖励与补助名单在官方网站等公开媒体上予以公示，公示期不少于5个工作日。</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（四）提交</w:t>
      </w:r>
      <w:r>
        <w:rPr>
          <w:rFonts w:hint="eastAsia" w:ascii="楷体_GB2312" w:hAnsi="微软雅黑" w:eastAsia="楷体_GB2312" w:cs="宋体"/>
          <w:color w:val="000000" w:themeColor="text1"/>
          <w:kern w:val="0"/>
          <w:sz w:val="32"/>
          <w:szCs w:val="32"/>
          <w:lang w:eastAsia="zh-CN"/>
          <w14:textFill>
            <w14:solidFill>
              <w14:schemeClr w14:val="tx1"/>
            </w14:solidFill>
          </w14:textFill>
        </w:rPr>
        <w:t>集体讨论</w:t>
      </w:r>
      <w:r>
        <w:rPr>
          <w:rFonts w:hint="eastAsia" w:ascii="楷体_GB2312" w:hAnsi="微软雅黑" w:eastAsia="楷体_GB2312" w:cs="宋体"/>
          <w:color w:val="000000" w:themeColor="text1"/>
          <w:kern w:val="0"/>
          <w:sz w:val="32"/>
          <w:szCs w:val="32"/>
          <w14:textFill>
            <w14:solidFill>
              <w14:schemeClr w14:val="tx1"/>
            </w14:solidFill>
          </w14:textFill>
        </w:rPr>
        <w:t>审定</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市发展改革部门将审核结果公示后，提交</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部门内集体讨论</w:t>
      </w:r>
      <w:r>
        <w:rPr>
          <w:rFonts w:hint="eastAsia" w:ascii="仿宋_GB2312" w:hAnsi="微软雅黑" w:eastAsia="仿宋_GB2312" w:cs="宋体"/>
          <w:color w:val="000000" w:themeColor="text1"/>
          <w:kern w:val="0"/>
          <w:sz w:val="32"/>
          <w:szCs w:val="32"/>
          <w14:textFill>
            <w14:solidFill>
              <w14:schemeClr w14:val="tx1"/>
            </w14:solidFill>
          </w14:textFill>
        </w:rPr>
        <w:t>审定。</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（五）奖励与补助发放</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集体讨论</w:t>
      </w:r>
      <w:r>
        <w:rPr>
          <w:rFonts w:hint="eastAsia" w:ascii="仿宋_GB2312" w:hAnsi="微软雅黑" w:eastAsia="仿宋_GB2312" w:cs="宋体"/>
          <w:color w:val="000000" w:themeColor="text1"/>
          <w:kern w:val="0"/>
          <w:sz w:val="32"/>
          <w:szCs w:val="32"/>
          <w14:textFill>
            <w14:solidFill>
              <w14:schemeClr w14:val="tx1"/>
            </w14:solidFill>
          </w14:textFill>
        </w:rPr>
        <w:t>审定通过后，由市发展改革部门将奖励与补助核算结果反馈企业，并按规定将奖励补助资金拨付企业。</w:t>
      </w: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w:t>
      </w:r>
    </w:p>
    <w:p>
      <w:pPr>
        <w:widowControl/>
        <w:shd w:val="clear" w:color="auto" w:fill="FFFFFF"/>
        <w:wordWrap w:val="0"/>
        <w:spacing w:line="480" w:lineRule="auto"/>
        <w:ind w:left="0" w:leftChars="0"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三、具体申报要求和申报流程</w:t>
      </w: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（一）总部企业资格复查</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1.申报范围：</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所有经</w:t>
      </w:r>
      <w:r>
        <w:rPr>
          <w:rFonts w:hint="eastAsia" w:ascii="仿宋_GB2312" w:hAnsi="微软雅黑" w:eastAsia="仿宋_GB2312" w:cs="宋体"/>
          <w:color w:val="000000" w:themeColor="text1"/>
          <w:kern w:val="0"/>
          <w:sz w:val="32"/>
          <w:szCs w:val="32"/>
          <w14:textFill>
            <w14:solidFill>
              <w14:schemeClr w14:val="tx1"/>
            </w14:solidFill>
          </w14:textFill>
        </w:rPr>
        <w:t>市发展和改革委员会或市政府核定通过的总部企业。</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（注：在</w:t>
      </w:r>
      <w:r>
        <w:rPr>
          <w:rFonts w:hint="eastAsia" w:ascii="仿宋_GB2312" w:hAnsi="微软雅黑" w:eastAsia="仿宋_GB2312" w:cs="宋体"/>
          <w:color w:val="000000" w:themeColor="text1"/>
          <w:kern w:val="0"/>
          <w:sz w:val="32"/>
          <w:szCs w:val="32"/>
          <w14:textFill>
            <w14:solidFill>
              <w14:schemeClr w14:val="tx1"/>
            </w14:solidFill>
          </w14:textFill>
        </w:rPr>
        <w:t>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default" w:ascii="仿宋_GB2312" w:hAnsi="微软雅黑" w:eastAsia="仿宋_GB2312" w:cs="宋体"/>
          <w:color w:val="000000" w:themeColor="text1"/>
          <w:kern w:val="0"/>
          <w:sz w:val="32"/>
          <w:szCs w:val="32"/>
          <w:lang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年</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申请且以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w:t>
      </w:r>
      <w:r>
        <w:rPr>
          <w:rFonts w:hint="default" w:ascii="仿宋_GB2312" w:hAnsi="微软雅黑" w:eastAsia="仿宋_GB2312" w:cs="宋体"/>
          <w:color w:val="000000" w:themeColor="text1"/>
          <w:kern w:val="0"/>
          <w:sz w:val="32"/>
          <w:szCs w:val="32"/>
          <w:lang w:eastAsia="zh-CN"/>
          <w14:textFill>
            <w14:solidFill>
              <w14:schemeClr w14:val="tx1"/>
            </w14:solidFill>
          </w14:textFill>
        </w:rPr>
        <w:t>1</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年数据为基础核定</w:t>
      </w:r>
      <w:r>
        <w:rPr>
          <w:rFonts w:hint="eastAsia" w:ascii="仿宋_GB2312" w:hAnsi="微软雅黑" w:eastAsia="仿宋_GB2312" w:cs="宋体"/>
          <w:color w:val="000000" w:themeColor="text1"/>
          <w:kern w:val="0"/>
          <w:sz w:val="32"/>
          <w:szCs w:val="32"/>
          <w14:textFill>
            <w14:solidFill>
              <w14:schemeClr w14:val="tx1"/>
            </w14:solidFill>
          </w14:textFill>
        </w:rPr>
        <w:t>通过的总部企业，不需进行总部企业资格复查，具体以复查申报页面的提示为准</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2.复查标准：</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47"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总部企业类型</w:t>
            </w:r>
          </w:p>
        </w:tc>
        <w:tc>
          <w:tcPr>
            <w:tcW w:w="5749" w:type="dxa"/>
            <w:vAlign w:val="center"/>
          </w:tcPr>
          <w:p>
            <w:pPr>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资格复查</w:t>
            </w:r>
            <w:r>
              <w:rPr>
                <w:rFonts w:hint="eastAsia" w:ascii="仿宋_GB2312" w:hAnsi="仿宋_GB2312" w:eastAsia="仿宋_GB2312" w:cs="仿宋_GB2312"/>
                <w:b/>
                <w:sz w:val="28"/>
                <w:szCs w:val="28"/>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547" w:type="dxa"/>
            <w:vAlign w:val="center"/>
          </w:tcPr>
          <w:p>
            <w:pPr>
              <w:jc w:val="center"/>
              <w:rPr>
                <w:rFonts w:hint="eastAsia" w:ascii="仿宋_GB2312" w:hAnsi="黑体" w:eastAsia="仿宋_GB2312" w:cs="Times New Roman"/>
                <w:b/>
                <w:sz w:val="24"/>
                <w:szCs w:val="24"/>
                <w:lang w:eastAsia="zh-CN"/>
              </w:rPr>
            </w:pPr>
            <w:r>
              <w:rPr>
                <w:rFonts w:hint="eastAsia" w:ascii="仿宋_GB2312" w:hAnsi="黑体" w:eastAsia="仿宋_GB2312" w:cs="Times New Roman"/>
                <w:b/>
                <w:sz w:val="24"/>
                <w:szCs w:val="24"/>
                <w:lang w:eastAsia="zh-CN"/>
              </w:rPr>
              <w:t>《实施办法》第三条（一）项</w:t>
            </w:r>
          </w:p>
        </w:tc>
        <w:tc>
          <w:tcPr>
            <w:tcW w:w="5749" w:type="dxa"/>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须</w:t>
            </w:r>
            <w:r>
              <w:rPr>
                <w:rFonts w:ascii="仿宋_GB2312" w:hAnsi="黑体" w:eastAsia="仿宋_GB2312" w:cs="Times New Roman"/>
                <w:sz w:val="24"/>
                <w:szCs w:val="24"/>
              </w:rPr>
              <w:t>达到</w:t>
            </w:r>
            <w:r>
              <w:rPr>
                <w:rFonts w:hint="eastAsia" w:ascii="仿宋_GB2312" w:hAnsi="黑体" w:eastAsia="仿宋_GB2312" w:cs="Times New Roman"/>
                <w:sz w:val="24"/>
                <w:szCs w:val="24"/>
              </w:rPr>
              <w:t>《实施办法》第三条第</w:t>
            </w:r>
            <w:r>
              <w:rPr>
                <w:rFonts w:ascii="仿宋_GB2312" w:hAnsi="黑体" w:eastAsia="仿宋_GB2312" w:cs="Times New Roman"/>
                <w:sz w:val="24"/>
                <w:szCs w:val="24"/>
              </w:rPr>
              <w:t>（</w:t>
            </w:r>
            <w:r>
              <w:rPr>
                <w:rFonts w:hint="eastAsia" w:ascii="仿宋_GB2312" w:hAnsi="黑体" w:eastAsia="仿宋_GB2312" w:cs="Times New Roman"/>
                <w:sz w:val="24"/>
                <w:szCs w:val="24"/>
              </w:rPr>
              <w:t>一</w:t>
            </w:r>
            <w:r>
              <w:rPr>
                <w:rFonts w:ascii="仿宋_GB2312" w:hAnsi="黑体" w:eastAsia="仿宋_GB2312" w:cs="Times New Roman"/>
                <w:sz w:val="24"/>
                <w:szCs w:val="24"/>
              </w:rPr>
              <w:t>）</w:t>
            </w:r>
            <w:r>
              <w:rPr>
                <w:rFonts w:hint="eastAsia" w:ascii="仿宋_GB2312" w:hAnsi="黑体" w:eastAsia="仿宋_GB2312" w:cs="Times New Roman"/>
                <w:sz w:val="24"/>
                <w:szCs w:val="24"/>
              </w:rPr>
              <w:t>项</w:t>
            </w:r>
            <w:r>
              <w:rPr>
                <w:rFonts w:ascii="仿宋_GB2312" w:hAnsi="黑体" w:eastAsia="仿宋_GB2312" w:cs="Times New Roman"/>
                <w:sz w:val="24"/>
                <w:szCs w:val="24"/>
              </w:rPr>
              <w:t>的条件</w:t>
            </w:r>
            <w:r>
              <w:rPr>
                <w:rFonts w:hint="eastAsia" w:ascii="仿宋_GB2312" w:hAnsi="黑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2547" w:type="dxa"/>
            <w:vAlign w:val="center"/>
          </w:tcPr>
          <w:p>
            <w:pPr>
              <w:jc w:val="center"/>
              <w:rPr>
                <w:rFonts w:ascii="仿宋_GB2312" w:hAnsi="黑体" w:eastAsia="仿宋_GB2312" w:cs="Times New Roman"/>
                <w:b/>
                <w:sz w:val="24"/>
                <w:szCs w:val="24"/>
              </w:rPr>
            </w:pPr>
            <w:r>
              <w:rPr>
                <w:rFonts w:hint="eastAsia" w:ascii="仿宋_GB2312" w:hAnsi="黑体" w:eastAsia="仿宋_GB2312" w:cs="Times New Roman"/>
                <w:b/>
                <w:sz w:val="24"/>
                <w:szCs w:val="24"/>
                <w:lang w:eastAsia="zh-CN"/>
              </w:rPr>
              <w:t>《实施办法》第三条（二）（三）（四）（五）项</w:t>
            </w:r>
          </w:p>
        </w:tc>
        <w:tc>
          <w:tcPr>
            <w:tcW w:w="5749" w:type="dxa"/>
            <w:vAlign w:val="center"/>
          </w:tcPr>
          <w:p>
            <w:pPr>
              <w:ind w:firstLine="360" w:firstLineChars="150"/>
              <w:rPr>
                <w:rFonts w:ascii="仿宋_GB2312" w:hAnsi="华文仿宋" w:eastAsia="仿宋_GB2312" w:cs="仿宋_GB2312"/>
                <w:sz w:val="24"/>
                <w:szCs w:val="24"/>
              </w:rPr>
            </w:pPr>
            <w:r>
              <w:rPr>
                <w:rFonts w:hint="eastAsia" w:ascii="仿宋_GB2312" w:hAnsi="华文仿宋" w:eastAsia="仿宋_GB2312" w:cs="仿宋_GB2312"/>
                <w:sz w:val="24"/>
                <w:szCs w:val="24"/>
                <w:lang w:val="zh-CN"/>
              </w:rPr>
              <w:t>1.在</w:t>
            </w:r>
            <w:r>
              <w:rPr>
                <w:rFonts w:ascii="仿宋_GB2312" w:hAnsi="华文仿宋" w:eastAsia="仿宋_GB2312" w:cs="仿宋_GB2312"/>
                <w:sz w:val="24"/>
                <w:szCs w:val="24"/>
                <w:lang w:val="zh-CN"/>
              </w:rPr>
              <w:t>其承诺或协议约定年限，实现</w:t>
            </w:r>
            <w:r>
              <w:rPr>
                <w:rFonts w:hint="eastAsia" w:ascii="仿宋_GB2312" w:hAnsi="华文仿宋" w:eastAsia="仿宋_GB2312" w:cs="仿宋_GB2312"/>
                <w:sz w:val="24"/>
                <w:szCs w:val="24"/>
                <w:lang w:val="zh-CN"/>
              </w:rPr>
              <w:t>其</w:t>
            </w:r>
            <w:r>
              <w:rPr>
                <w:rFonts w:ascii="仿宋_GB2312" w:hAnsi="华文仿宋" w:eastAsia="仿宋_GB2312" w:cs="仿宋_GB2312"/>
                <w:sz w:val="24"/>
                <w:szCs w:val="24"/>
                <w:lang w:val="zh-CN"/>
              </w:rPr>
              <w:t>承诺或约定的产值规模</w:t>
            </w:r>
            <w:r>
              <w:rPr>
                <w:rFonts w:hint="eastAsia" w:ascii="仿宋_GB2312" w:hAnsi="华文仿宋" w:eastAsia="仿宋_GB2312" w:cs="仿宋_GB2312"/>
                <w:sz w:val="24"/>
                <w:szCs w:val="24"/>
              </w:rPr>
              <w:t>（营业收入）和地方</w:t>
            </w:r>
            <w:r>
              <w:rPr>
                <w:rFonts w:ascii="仿宋_GB2312" w:hAnsi="华文仿宋" w:eastAsia="仿宋_GB2312" w:cs="仿宋_GB2312"/>
                <w:sz w:val="24"/>
                <w:szCs w:val="24"/>
              </w:rPr>
              <w:t>财力。</w:t>
            </w:r>
          </w:p>
          <w:p>
            <w:pPr>
              <w:ind w:firstLine="360" w:firstLineChars="150"/>
              <w:rPr>
                <w:rFonts w:ascii="仿宋_GB2312" w:hAnsi="华文仿宋" w:eastAsia="仿宋_GB2312" w:cs="仿宋_GB2312"/>
                <w:sz w:val="24"/>
                <w:szCs w:val="24"/>
                <w:lang w:val="zh-CN"/>
              </w:rPr>
            </w:pPr>
            <w:r>
              <w:rPr>
                <w:rFonts w:ascii="仿宋_GB2312" w:hAnsi="华文仿宋" w:eastAsia="仿宋_GB2312" w:cs="仿宋_GB2312"/>
                <w:sz w:val="24"/>
                <w:szCs w:val="24"/>
              </w:rPr>
              <w:t>2.在</w:t>
            </w:r>
            <w:r>
              <w:rPr>
                <w:rFonts w:hint="eastAsia" w:ascii="仿宋_GB2312" w:hAnsi="华文仿宋" w:eastAsia="仿宋_GB2312" w:cs="仿宋_GB2312"/>
                <w:sz w:val="24"/>
                <w:szCs w:val="24"/>
                <w:lang w:eastAsia="zh-CN"/>
              </w:rPr>
              <w:t>实现承诺</w:t>
            </w:r>
            <w:r>
              <w:rPr>
                <w:rFonts w:ascii="仿宋_GB2312" w:hAnsi="华文仿宋" w:eastAsia="仿宋_GB2312" w:cs="仿宋_GB2312"/>
                <w:sz w:val="24"/>
                <w:szCs w:val="24"/>
              </w:rPr>
              <w:t>后每年须达到</w:t>
            </w:r>
            <w:r>
              <w:rPr>
                <w:rFonts w:hint="eastAsia" w:ascii="仿宋_GB2312" w:hAnsi="黑体" w:eastAsia="仿宋_GB2312" w:cs="Times New Roman"/>
                <w:sz w:val="24"/>
                <w:szCs w:val="24"/>
              </w:rPr>
              <w:t>《实施办法》第三条第</w:t>
            </w:r>
            <w:r>
              <w:rPr>
                <w:rFonts w:ascii="仿宋_GB2312" w:hAnsi="黑体" w:eastAsia="仿宋_GB2312" w:cs="Times New Roman"/>
                <w:sz w:val="24"/>
                <w:szCs w:val="24"/>
              </w:rPr>
              <w:t>（</w:t>
            </w:r>
            <w:r>
              <w:rPr>
                <w:rFonts w:hint="eastAsia" w:ascii="仿宋_GB2312" w:hAnsi="黑体" w:eastAsia="仿宋_GB2312" w:cs="Times New Roman"/>
                <w:sz w:val="24"/>
                <w:szCs w:val="24"/>
              </w:rPr>
              <w:t>一</w:t>
            </w:r>
            <w:r>
              <w:rPr>
                <w:rFonts w:ascii="仿宋_GB2312" w:hAnsi="黑体" w:eastAsia="仿宋_GB2312" w:cs="Times New Roman"/>
                <w:sz w:val="24"/>
                <w:szCs w:val="24"/>
              </w:rPr>
              <w:t>）</w:t>
            </w:r>
            <w:r>
              <w:rPr>
                <w:rFonts w:hint="eastAsia" w:ascii="仿宋_GB2312" w:hAnsi="黑体" w:eastAsia="仿宋_GB2312" w:cs="Times New Roman"/>
                <w:sz w:val="24"/>
                <w:szCs w:val="24"/>
              </w:rPr>
              <w:t>项</w:t>
            </w:r>
            <w:r>
              <w:rPr>
                <w:rFonts w:ascii="仿宋_GB2312" w:hAnsi="黑体" w:eastAsia="仿宋_GB2312" w:cs="Times New Roman"/>
                <w:sz w:val="24"/>
                <w:szCs w:val="24"/>
              </w:rPr>
              <w:t>的条件</w:t>
            </w:r>
            <w:r>
              <w:rPr>
                <w:rFonts w:hint="eastAsia" w:ascii="仿宋_GB2312" w:hAnsi="黑体" w:eastAsia="仿宋_GB2312" w:cs="Times New Roman"/>
                <w:sz w:val="24"/>
                <w:szCs w:val="24"/>
              </w:rPr>
              <w:t>。</w:t>
            </w:r>
          </w:p>
        </w:tc>
      </w:tr>
    </w:tbl>
    <w:p>
      <w:pPr>
        <w:widowControl/>
        <w:shd w:val="clear" w:color="auto" w:fill="FFFFFF"/>
        <w:wordWrap w:val="0"/>
        <w:spacing w:line="480" w:lineRule="auto"/>
        <w:ind w:firstLine="645"/>
        <w:rPr>
          <w:rFonts w:hint="eastAsia"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wordWrap w:val="0"/>
        <w:spacing w:line="480" w:lineRule="auto"/>
        <w:ind w:firstLine="645"/>
        <w:rPr>
          <w:rFonts w:ascii="仿宋_GB2312" w:hAnsi="黑体" w:eastAsia="仿宋_GB2312"/>
          <w:sz w:val="32"/>
          <w:szCs w:val="32"/>
        </w:rPr>
        <w:pPrChange w:id="0" w:author="A姬艳丽" w:date="2022-06-28T18:19:21Z">
          <w:pPr>
            <w:widowControl/>
            <w:shd w:val="clear" w:color="auto" w:fill="FFFFFF"/>
            <w:wordWrap w:val="0"/>
            <w:spacing w:line="480" w:lineRule="auto"/>
            <w:ind w:firstLine="645"/>
          </w:pPr>
        </w:pPrChange>
      </w:pPr>
      <w:r>
        <w:rPr>
          <w:rFonts w:hint="eastAsia" w:ascii="仿宋_GB2312" w:hAnsi="微软雅黑" w:eastAsia="仿宋_GB2312" w:cs="宋体"/>
          <w:color w:val="000000" w:themeColor="text1"/>
          <w:kern w:val="0"/>
          <w:sz w:val="32"/>
          <w:szCs w:val="32"/>
          <w14:textFill>
            <w14:solidFill>
              <w14:schemeClr w14:val="tx1"/>
            </w14:solidFill>
          </w14:textFill>
        </w:rPr>
        <w:t>3</w:t>
      </w:r>
      <w:r>
        <w:rPr>
          <w:rFonts w:hint="eastAsia" w:ascii="仿宋_GB2312" w:hAnsi="黑体" w:eastAsia="仿宋_GB2312"/>
          <w:sz w:val="32"/>
          <w:szCs w:val="32"/>
        </w:rPr>
        <w:t>.办理结果：</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1.经</w:t>
      </w:r>
      <w:r>
        <w:rPr>
          <w:rFonts w:ascii="仿宋_GB2312" w:hAnsi="黑体" w:eastAsia="仿宋_GB2312"/>
          <w:sz w:val="32"/>
          <w:szCs w:val="32"/>
        </w:rPr>
        <w:t>复查符合条件的总部企业，将可以继续享受总部企业相关支持政策。</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一年复查不符合条件的企业，由行业主管部门会同企业落户区政府进行约谈，连续两年复查不符合条件的企业调整出总部企业名录。</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（注：</w:t>
      </w:r>
      <w:r>
        <w:rPr>
          <w:rFonts w:hint="eastAsia" w:ascii="仿宋_GB2312" w:hAnsi="黑体" w:eastAsia="仿宋_GB2312"/>
          <w:sz w:val="32"/>
          <w:szCs w:val="32"/>
        </w:rPr>
        <w:t>经调整出总部企业名录</w:t>
      </w:r>
      <w:r>
        <w:rPr>
          <w:rFonts w:ascii="仿宋_GB2312" w:hAnsi="黑体" w:eastAsia="仿宋_GB2312"/>
          <w:sz w:val="32"/>
          <w:szCs w:val="32"/>
        </w:rPr>
        <w:t>的总部企业，可以在下一年度再次申请总部企业核定</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二</w:t>
      </w:r>
      <w:r>
        <w:rPr>
          <w:rFonts w:hint="eastAsia" w:ascii="楷体_GB2312" w:hAnsi="微软雅黑" w:eastAsia="楷体_GB2312" w:cs="宋体"/>
          <w:b/>
          <w:color w:val="000000" w:themeColor="text1"/>
          <w:kern w:val="0"/>
          <w:sz w:val="32"/>
          <w:szCs w:val="32"/>
          <w14:textFill>
            <w14:solidFill>
              <w14:schemeClr w14:val="tx1"/>
            </w14:solidFill>
          </w14:textFill>
        </w:rPr>
        <w:t>）总部企业落户奖励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1.申报要求：</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（1）经市政府审定，符合《实施办法》第三条第（二）项规定条件，并在承诺期内实现其承诺产值规模（营业收入）和地方财力的新引进总部企业</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2</w:t>
      </w:r>
      <w:r>
        <w:rPr>
          <w:rFonts w:ascii="仿宋_GB2312" w:hAnsi="微软雅黑" w:eastAsia="仿宋_GB2312" w:cs="宋体"/>
          <w:color w:val="000000" w:themeColor="text1"/>
          <w:kern w:val="0"/>
          <w:sz w:val="32"/>
          <w:szCs w:val="32"/>
          <w14:textFill>
            <w14:solidFill>
              <w14:schemeClr w14:val="tx1"/>
            </w14:solidFill>
          </w14:textFill>
        </w:rPr>
        <w:t>）符合条件的总部企业，在</w:t>
      </w:r>
      <w:r>
        <w:rPr>
          <w:rFonts w:hint="eastAsia" w:ascii="仿宋_GB2312" w:hAnsi="微软雅黑" w:eastAsia="仿宋_GB2312" w:cs="宋体"/>
          <w:color w:val="000000" w:themeColor="text1"/>
          <w:kern w:val="0"/>
          <w:sz w:val="32"/>
          <w:szCs w:val="32"/>
          <w14:textFill>
            <w14:solidFill>
              <w14:schemeClr w14:val="tx1"/>
            </w14:solidFill>
          </w14:textFill>
        </w:rPr>
        <w:t>实现其承诺经济贡献年度的第二年</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、第三年</w:t>
      </w:r>
      <w:r>
        <w:rPr>
          <w:rFonts w:hint="eastAsia" w:ascii="仿宋_GB2312" w:hAnsi="微软雅黑" w:eastAsia="仿宋_GB2312" w:cs="宋体"/>
          <w:color w:val="000000" w:themeColor="text1"/>
          <w:kern w:val="0"/>
          <w:sz w:val="32"/>
          <w:szCs w:val="32"/>
          <w14:textFill>
            <w14:solidFill>
              <w14:schemeClr w14:val="tx1"/>
            </w14:solidFill>
          </w14:textFill>
        </w:rPr>
        <w:t>，可以申请落户奖励。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2.奖励标准：</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分别在其完成第二年、第三年承诺时给予落户奖励500万元。</w:t>
      </w: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三</w:t>
      </w:r>
      <w:r>
        <w:rPr>
          <w:rFonts w:hint="eastAsia" w:ascii="楷体_GB2312" w:hAnsi="微软雅黑" w:eastAsia="楷体_GB2312" w:cs="宋体"/>
          <w:b/>
          <w:color w:val="000000" w:themeColor="text1"/>
          <w:kern w:val="0"/>
          <w:sz w:val="32"/>
          <w:szCs w:val="32"/>
          <w14:textFill>
            <w14:solidFill>
              <w14:schemeClr w14:val="tx1"/>
            </w14:solidFill>
          </w14:textFill>
        </w:rPr>
        <w:t>）总部企业贡献奖励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连续3年纳入本市统计核算的产值规模（营业收入）和形成地方财力保持正增长且连续3年符合</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《实施办法》</w:t>
      </w:r>
      <w:r>
        <w:rPr>
          <w:rFonts w:hint="eastAsia" w:ascii="仿宋_GB2312" w:hAnsi="微软雅黑" w:eastAsia="仿宋_GB2312" w:cs="宋体"/>
          <w:color w:val="000000" w:themeColor="text1"/>
          <w:kern w:val="0"/>
          <w:sz w:val="32"/>
          <w:szCs w:val="32"/>
          <w14:textFill>
            <w14:solidFill>
              <w14:schemeClr w14:val="tx1"/>
            </w14:solidFill>
          </w14:textFill>
        </w:rPr>
        <w:t>第三条第一项规定条件的总部企业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例如：A企业于</w:t>
      </w:r>
      <w:r>
        <w:rPr>
          <w:rFonts w:hint="eastAsia" w:ascii="仿宋_GB2312" w:hAnsi="微软雅黑" w:eastAsia="仿宋_GB2312" w:cs="宋体"/>
          <w:color w:val="000000" w:themeColor="text1"/>
          <w:kern w:val="0"/>
          <w:sz w:val="32"/>
          <w:szCs w:val="32"/>
          <w14:textFill>
            <w14:solidFill>
              <w14:schemeClr w14:val="tx1"/>
            </w14:solidFill>
          </w14:textFill>
        </w:rPr>
        <w:t>201</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9</w:t>
      </w:r>
      <w:r>
        <w:rPr>
          <w:rFonts w:hint="eastAsia" w:ascii="仿宋_GB2312" w:hAnsi="微软雅黑" w:eastAsia="仿宋_GB2312" w:cs="宋体"/>
          <w:color w:val="000000" w:themeColor="text1"/>
          <w:kern w:val="0"/>
          <w:sz w:val="32"/>
          <w:szCs w:val="32"/>
          <w14:textFill>
            <w14:solidFill>
              <w14:schemeClr w14:val="tx1"/>
            </w14:solidFill>
          </w14:textFill>
        </w:rPr>
        <w:t>年核定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通过</w:t>
      </w:r>
      <w:r>
        <w:rPr>
          <w:rFonts w:hint="eastAsia" w:ascii="仿宋_GB2312" w:hAnsi="微软雅黑" w:eastAsia="仿宋_GB2312" w:cs="宋体"/>
          <w:color w:val="000000" w:themeColor="text1"/>
          <w:kern w:val="0"/>
          <w:sz w:val="32"/>
          <w:szCs w:val="32"/>
          <w14:textFill>
            <w14:solidFill>
              <w14:schemeClr w14:val="tx1"/>
            </w14:solidFill>
          </w14:textFill>
        </w:rPr>
        <w:t>，则在202</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14:textFill>
            <w14:solidFill>
              <w14:schemeClr w14:val="tx1"/>
            </w14:solidFill>
          </w14:textFill>
        </w:rPr>
        <w:t>年开始可以申请总部企业贡献奖励。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申报系统将自动判断申报企业是否符合贡献奖的申报条件。如符合条件，则可以进入贡献奖申报页面；如不符合条件，则显示“您的企业不符合贡献奖申报条件”。</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2.奖励标准：</w:t>
      </w:r>
    </w:p>
    <w:p>
      <w:pPr>
        <w:ind w:firstLine="640" w:firstLineChars="200"/>
        <w:rPr>
          <w:rFonts w:ascii="仿宋_GB2312" w:hAnsi="黑体" w:eastAsia="仿宋_GB2312"/>
          <w:sz w:val="32"/>
          <w:szCs w:val="32"/>
        </w:rPr>
      </w:pPr>
      <w:r>
        <w:rPr>
          <w:rFonts w:hint="eastAsia" w:ascii="仿宋_GB2312" w:hAnsi="黑体" w:eastAsia="仿宋_GB2312"/>
          <w:sz w:val="32"/>
          <w:szCs w:val="32"/>
        </w:rPr>
        <w:t>奖励额为上一年度形成本市地方财力超过前两年度最高值的30%，最高不超过2000万元。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例如，总部企业在20</w:t>
      </w:r>
      <w:r>
        <w:rPr>
          <w:rFonts w:hint="eastAsia" w:ascii="仿宋_GB2312" w:hAnsi="黑体" w:eastAsia="仿宋_GB2312"/>
          <w:sz w:val="32"/>
          <w:szCs w:val="32"/>
          <w:lang w:val="en-US" w:eastAsia="zh-CN"/>
        </w:rPr>
        <w:t>18</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年形成本市地方财力分别为</w:t>
      </w:r>
      <w:r>
        <w:rPr>
          <w:rFonts w:hint="eastAsia" w:ascii="仿宋_GB2312" w:hAnsi="黑体" w:eastAsia="仿宋_GB2312"/>
          <w:sz w:val="32"/>
          <w:szCs w:val="32"/>
          <w:lang w:val="en-US" w:eastAsia="zh-CN"/>
        </w:rPr>
        <w:t>4</w:t>
      </w:r>
      <w:r>
        <w:rPr>
          <w:rFonts w:hint="eastAsia" w:ascii="仿宋_GB2312" w:hAnsi="黑体" w:eastAsia="仿宋_GB2312"/>
          <w:sz w:val="32"/>
          <w:szCs w:val="32"/>
        </w:rPr>
        <w:t>000万、</w:t>
      </w:r>
      <w:r>
        <w:rPr>
          <w:rFonts w:hint="eastAsia" w:ascii="仿宋_GB2312" w:hAnsi="黑体" w:eastAsia="仿宋_GB2312"/>
          <w:sz w:val="32"/>
          <w:szCs w:val="32"/>
          <w:lang w:val="en-US" w:eastAsia="zh-CN"/>
        </w:rPr>
        <w:t>5</w:t>
      </w:r>
      <w:r>
        <w:rPr>
          <w:rFonts w:hint="eastAsia" w:ascii="仿宋_GB2312" w:hAnsi="黑体" w:eastAsia="仿宋_GB2312"/>
          <w:sz w:val="32"/>
          <w:szCs w:val="32"/>
        </w:rPr>
        <w:t>000万、6000万，则企业的贡献奖额度为（6000-5000）×30%＝300（万元）。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计算</w:t>
      </w:r>
      <w:r>
        <w:rPr>
          <w:rFonts w:ascii="仿宋_GB2312" w:hAnsi="黑体" w:eastAsia="仿宋_GB2312"/>
          <w:sz w:val="32"/>
          <w:szCs w:val="32"/>
        </w:rPr>
        <w:t>公示：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奖励额＝（上年度形成本市地方财力 - 前两年度形成本市地方财力的最高值）×30%</w:t>
      </w: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四</w:t>
      </w:r>
      <w:r>
        <w:rPr>
          <w:rFonts w:hint="eastAsia" w:ascii="楷体_GB2312" w:hAnsi="微软雅黑" w:eastAsia="楷体_GB2312" w:cs="宋体"/>
          <w:b/>
          <w:color w:val="000000" w:themeColor="text1"/>
          <w:kern w:val="0"/>
          <w:sz w:val="32"/>
          <w:szCs w:val="32"/>
          <w14:textFill>
            <w14:solidFill>
              <w14:schemeClr w14:val="tx1"/>
            </w14:solidFill>
          </w14:textFill>
        </w:rPr>
        <w:t>）总部企业租房补助</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黑体" w:eastAsia="仿宋_GB2312"/>
          <w:sz w:val="32"/>
          <w:szCs w:val="32"/>
        </w:rPr>
        <w:t>经市发展和改革委员会或市政府核定通过的，在本市无自有办公用房的总部企业。</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2.补助标准：</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每年按自用办公用房（不包括附属设施和配套用房，以及政策性优惠用房）租赁合同金额的</w:t>
      </w:r>
      <w:r>
        <w:rPr>
          <w:rFonts w:ascii="仿宋_GB2312" w:hAnsi="微软雅黑" w:eastAsia="仿宋_GB2312" w:cs="宋体"/>
          <w:color w:val="000000" w:themeColor="text1"/>
          <w:kern w:val="0"/>
          <w:sz w:val="32"/>
          <w:szCs w:val="32"/>
          <w14:textFill>
            <w14:solidFill>
              <w14:schemeClr w14:val="tx1"/>
            </w14:solidFill>
          </w14:textFill>
        </w:rPr>
        <w:t>50%给予补助，每年补助金额不超过150万元，最多不超过5年。</w:t>
      </w: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五</w:t>
      </w:r>
      <w:r>
        <w:rPr>
          <w:rFonts w:hint="eastAsia" w:ascii="楷体_GB2312" w:hAnsi="微软雅黑" w:eastAsia="楷体_GB2312" w:cs="宋体"/>
          <w:b/>
          <w:color w:val="000000" w:themeColor="text1"/>
          <w:kern w:val="0"/>
          <w:sz w:val="32"/>
          <w:szCs w:val="32"/>
          <w14:textFill>
            <w14:solidFill>
              <w14:schemeClr w14:val="tx1"/>
            </w14:solidFill>
          </w14:textFill>
        </w:rPr>
        <w:t>）总部企业购房补助</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经</w:t>
      </w:r>
      <w:r>
        <w:rPr>
          <w:rFonts w:hint="eastAsia" w:ascii="仿宋_GB2312" w:hAnsi="微软雅黑" w:eastAsia="仿宋_GB2312" w:cs="宋体"/>
          <w:color w:val="000000" w:themeColor="text1"/>
          <w:kern w:val="0"/>
          <w:sz w:val="32"/>
          <w:szCs w:val="32"/>
          <w14:textFill>
            <w14:solidFill>
              <w14:schemeClr w14:val="tx1"/>
            </w14:solidFill>
          </w14:textFill>
        </w:rPr>
        <w:t>市发展和改革委员会或市政府核定通过的</w:t>
      </w:r>
      <w:r>
        <w:rPr>
          <w:rFonts w:ascii="仿宋_GB2312" w:hAnsi="黑体" w:eastAsia="仿宋_GB2312"/>
          <w:sz w:val="32"/>
          <w:szCs w:val="32"/>
        </w:rPr>
        <w:t>，</w:t>
      </w:r>
      <w:r>
        <w:rPr>
          <w:rFonts w:hint="eastAsia" w:ascii="仿宋_GB2312" w:hAnsi="黑体" w:eastAsia="仿宋_GB2312"/>
          <w:sz w:val="32"/>
          <w:szCs w:val="32"/>
        </w:rPr>
        <w:t>在本市无自有办公用房，首次购置总部自用办公用房的总部企业。</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2.补助标准：</w:t>
      </w:r>
    </w:p>
    <w:p>
      <w:pPr>
        <w:widowControl/>
        <w:shd w:val="clear" w:color="auto" w:fill="FFFFFF"/>
        <w:wordWrap w:val="0"/>
        <w:spacing w:line="480" w:lineRule="auto"/>
        <w:ind w:firstLine="645"/>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按购买办公用房（不包括附属设施和配套用房，以及政策性优惠用房）房价的</w:t>
      </w:r>
      <w:r>
        <w:rPr>
          <w:rFonts w:ascii="仿宋_GB2312" w:hAnsi="微软雅黑" w:eastAsia="仿宋_GB2312" w:cs="宋体"/>
          <w:color w:val="000000" w:themeColor="text1"/>
          <w:kern w:val="0"/>
          <w:sz w:val="32"/>
          <w:szCs w:val="32"/>
          <w14:textFill>
            <w14:solidFill>
              <w14:schemeClr w14:val="tx1"/>
            </w14:solidFill>
          </w14:textFill>
        </w:rPr>
        <w:t>10%给予一次性补助，最高不超过5000万元</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最高不超过5000万元，并以企业上一年度在本市形成的地方财力为上限。</w:t>
      </w: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四、其他事项</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（一）关于总部企业统计核算范围</w:t>
      </w:r>
    </w:p>
    <w:p>
      <w:pPr>
        <w:ind w:firstLine="640" w:firstLineChars="200"/>
        <w:rPr>
          <w:rFonts w:hint="default" w:ascii="仿宋_GB2312" w:hAnsi="黑体" w:eastAsia="仿宋_GB2312"/>
          <w:sz w:val="32"/>
          <w:szCs w:val="32"/>
          <w:highlight w:val="none"/>
          <w:lang w:val="en-US" w:eastAsia="zh-CN"/>
        </w:rPr>
      </w:pPr>
      <w:r>
        <w:rPr>
          <w:rFonts w:hint="eastAsia" w:ascii="仿宋_GB2312" w:hAnsi="Times New Roman" w:eastAsia="仿宋_GB2312" w:cs="Times New Roman"/>
          <w:sz w:val="32"/>
          <w:szCs w:val="32"/>
        </w:rPr>
        <w:t>《实施办法》所称总部企业产值规模（营业收入）、形成的地方财力以申报企业独立法人（含分支机构）及其能够并入财务报表且实际控制的我市公司作为统计核算口径</w:t>
      </w:r>
      <w:r>
        <w:rPr>
          <w:rFonts w:hint="eastAsia" w:ascii="仿宋_GB2312" w:hAnsi="Times New Roman" w:eastAsia="仿宋_GB2312" w:cs="Times New Roman"/>
          <w:sz w:val="32"/>
          <w:szCs w:val="32"/>
          <w:lang w:eastAsia="zh-CN"/>
        </w:rPr>
        <w:t>，</w:t>
      </w:r>
      <w:r>
        <w:rPr>
          <w:rFonts w:hint="eastAsia" w:ascii="仿宋_GB2312" w:hAnsi="黑体" w:eastAsia="仿宋_GB2312"/>
          <w:sz w:val="32"/>
          <w:szCs w:val="32"/>
          <w:highlight w:val="none"/>
          <w:lang w:eastAsia="zh-CN"/>
        </w:rPr>
        <w:t>以经审计的财务报告及形成实际控制的相关证明材料为准。如企业提交的子公司名单有增加，将以最新的子公司名单倒查前三年</w:t>
      </w:r>
      <w:r>
        <w:rPr>
          <w:rFonts w:hint="eastAsia" w:ascii="仿宋_GB2312" w:hAnsi="Times New Roman" w:eastAsia="仿宋_GB2312" w:cs="Times New Roman"/>
          <w:sz w:val="32"/>
          <w:szCs w:val="32"/>
        </w:rPr>
        <w:t>产值规模（营业收入）</w:t>
      </w:r>
      <w:r>
        <w:rPr>
          <w:rFonts w:hint="eastAsia" w:ascii="仿宋_GB2312" w:hAnsi="Times New Roman" w:eastAsia="仿宋_GB2312" w:cs="Times New Roman"/>
          <w:sz w:val="32"/>
          <w:szCs w:val="32"/>
          <w:lang w:eastAsia="zh-CN"/>
        </w:rPr>
        <w:t>和形成地方财力作为奖励与</w:t>
      </w:r>
      <w:r>
        <w:rPr>
          <w:rFonts w:hint="eastAsia" w:ascii="仿宋_GB2312" w:hAnsi="Times New Roman" w:eastAsia="仿宋_GB2312" w:cs="Times New Roman"/>
          <w:sz w:val="32"/>
          <w:szCs w:val="32"/>
          <w:lang w:val="en-US" w:eastAsia="zh-CN"/>
        </w:rPr>
        <w:t>补助计算依据。</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rPr>
        <w:t>总部企业的产值规模（营业收入）和地方财力，</w:t>
      </w:r>
      <w:r>
        <w:rPr>
          <w:rFonts w:ascii="仿宋_GB2312" w:hAnsi="黑体" w:eastAsia="仿宋_GB2312"/>
          <w:sz w:val="32"/>
          <w:szCs w:val="32"/>
        </w:rPr>
        <w:t>以</w:t>
      </w:r>
      <w:r>
        <w:rPr>
          <w:rFonts w:hint="eastAsia" w:ascii="仿宋_GB2312" w:hAnsi="黑体" w:eastAsia="仿宋_GB2312"/>
          <w:sz w:val="32"/>
          <w:szCs w:val="32"/>
        </w:rPr>
        <w:t>市</w:t>
      </w:r>
      <w:r>
        <w:rPr>
          <w:rFonts w:ascii="仿宋_GB2312" w:hAnsi="黑体" w:eastAsia="仿宋_GB2312"/>
          <w:sz w:val="32"/>
          <w:szCs w:val="32"/>
        </w:rPr>
        <w:t>统计、</w:t>
      </w:r>
      <w:r>
        <w:rPr>
          <w:rFonts w:hint="eastAsia" w:ascii="仿宋_GB2312" w:hAnsi="黑体" w:eastAsia="仿宋_GB2312"/>
          <w:sz w:val="32"/>
          <w:szCs w:val="32"/>
        </w:rPr>
        <w:t>税务</w:t>
      </w:r>
      <w:r>
        <w:rPr>
          <w:rFonts w:ascii="仿宋_GB2312" w:hAnsi="黑体" w:eastAsia="仿宋_GB2312"/>
          <w:sz w:val="32"/>
          <w:szCs w:val="32"/>
        </w:rPr>
        <w:t>部门提供的数据</w:t>
      </w:r>
      <w:r>
        <w:rPr>
          <w:rFonts w:hint="eastAsia" w:ascii="仿宋_GB2312" w:hAnsi="黑体" w:eastAsia="仿宋_GB2312"/>
          <w:sz w:val="32"/>
          <w:szCs w:val="32"/>
        </w:rPr>
        <w:t>为准</w:t>
      </w:r>
      <w:r>
        <w:rPr>
          <w:rFonts w:ascii="仿宋_GB2312" w:hAnsi="黑体" w:eastAsia="仿宋_GB2312"/>
          <w:sz w:val="32"/>
          <w:szCs w:val="32"/>
        </w:rPr>
        <w:t>。</w:t>
      </w:r>
      <w:r>
        <w:rPr>
          <w:rFonts w:hint="eastAsia" w:ascii="仿宋_GB2312" w:hAnsi="Times New Roman" w:eastAsia="仿宋_GB2312" w:cs="Times New Roman"/>
          <w:sz w:val="32"/>
          <w:szCs w:val="32"/>
        </w:rPr>
        <w:t>各年度股权关系以当年12月31日股权登记状况为准</w:t>
      </w:r>
      <w:r>
        <w:rPr>
          <w:rFonts w:hint="eastAsia" w:ascii="仿宋_GB2312" w:hAnsi="黑体" w:eastAsia="仿宋_GB2312"/>
          <w:sz w:val="32"/>
          <w:szCs w:val="32"/>
          <w:highlight w:val="none"/>
          <w:lang w:eastAsia="zh-CN"/>
        </w:rPr>
        <w:t>。</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（二）关于形成本市地方财力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办法》所称形成本市地方财力，是指申报企业在我市缴纳的税款入库期内，企业所得税、增值税、城市维护建设税、印花税、地方教育费附加、教育费附加、房产税、城镇土地使用税、文化事业建设费计入地方分成部分。</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（三）关于不重复统计原则</w:t>
      </w:r>
    </w:p>
    <w:p>
      <w:pPr>
        <w:ind w:firstLine="640" w:firstLineChars="200"/>
      </w:pPr>
      <w:r>
        <w:rPr>
          <w:rFonts w:hint="eastAsia" w:ascii="仿宋_GB2312" w:hAnsi="Times New Roman" w:eastAsia="仿宋_GB2312" w:cs="Times New Roman"/>
          <w:sz w:val="32"/>
          <w:szCs w:val="32"/>
        </w:rPr>
        <w:t>申报企业的下属公司独立提出申请享受总部企业支持政策的，其下属公司在本市统计核算的产值规模（营业收入）和形成地方财力不再重复计入作为上级公司的申报企业。</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61860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姬艳丽">
    <w15:presenceInfo w15:providerId="WPS Office" w15:userId="2018638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050184"/>
    <w:rsid w:val="00050184"/>
    <w:rsid w:val="000B23C9"/>
    <w:rsid w:val="000D1E45"/>
    <w:rsid w:val="000D3921"/>
    <w:rsid w:val="0018484F"/>
    <w:rsid w:val="00302A2A"/>
    <w:rsid w:val="00380444"/>
    <w:rsid w:val="0038358F"/>
    <w:rsid w:val="003C29C0"/>
    <w:rsid w:val="0053745E"/>
    <w:rsid w:val="005B603C"/>
    <w:rsid w:val="005E3644"/>
    <w:rsid w:val="006241BB"/>
    <w:rsid w:val="006B0E1E"/>
    <w:rsid w:val="00742945"/>
    <w:rsid w:val="00782724"/>
    <w:rsid w:val="007A027F"/>
    <w:rsid w:val="007C265D"/>
    <w:rsid w:val="00811C06"/>
    <w:rsid w:val="00864D99"/>
    <w:rsid w:val="008719D3"/>
    <w:rsid w:val="00887EDB"/>
    <w:rsid w:val="008B61FD"/>
    <w:rsid w:val="00975F41"/>
    <w:rsid w:val="009B3B79"/>
    <w:rsid w:val="009B61BC"/>
    <w:rsid w:val="00A04B52"/>
    <w:rsid w:val="00A527F5"/>
    <w:rsid w:val="00AE390B"/>
    <w:rsid w:val="00AF2B04"/>
    <w:rsid w:val="00B14A8C"/>
    <w:rsid w:val="00B173BA"/>
    <w:rsid w:val="00B629E7"/>
    <w:rsid w:val="00B70F6E"/>
    <w:rsid w:val="00C01605"/>
    <w:rsid w:val="00C4301D"/>
    <w:rsid w:val="00C53216"/>
    <w:rsid w:val="00CE16C8"/>
    <w:rsid w:val="00D0574C"/>
    <w:rsid w:val="00DE5BF0"/>
    <w:rsid w:val="00EB15A2"/>
    <w:rsid w:val="00ED1EDF"/>
    <w:rsid w:val="00EE53BE"/>
    <w:rsid w:val="00EF414C"/>
    <w:rsid w:val="00F04F86"/>
    <w:rsid w:val="00F60AB0"/>
    <w:rsid w:val="00FB3061"/>
    <w:rsid w:val="01755601"/>
    <w:rsid w:val="057F2F56"/>
    <w:rsid w:val="07487B45"/>
    <w:rsid w:val="09EC1642"/>
    <w:rsid w:val="0EA425EF"/>
    <w:rsid w:val="10330C8C"/>
    <w:rsid w:val="10C00AA6"/>
    <w:rsid w:val="15E80AB0"/>
    <w:rsid w:val="16C1160E"/>
    <w:rsid w:val="178E5479"/>
    <w:rsid w:val="17B70E6A"/>
    <w:rsid w:val="196573FA"/>
    <w:rsid w:val="1C675416"/>
    <w:rsid w:val="1D49254C"/>
    <w:rsid w:val="24045E44"/>
    <w:rsid w:val="284B3F04"/>
    <w:rsid w:val="28A7691E"/>
    <w:rsid w:val="2F414F73"/>
    <w:rsid w:val="2FC7A539"/>
    <w:rsid w:val="306E479B"/>
    <w:rsid w:val="32841442"/>
    <w:rsid w:val="368C2BD5"/>
    <w:rsid w:val="394A1E71"/>
    <w:rsid w:val="3C8A6A00"/>
    <w:rsid w:val="3FAB5391"/>
    <w:rsid w:val="40942F2A"/>
    <w:rsid w:val="40E719C8"/>
    <w:rsid w:val="465E1D8B"/>
    <w:rsid w:val="468347C6"/>
    <w:rsid w:val="468D35D9"/>
    <w:rsid w:val="48354B73"/>
    <w:rsid w:val="495D1C15"/>
    <w:rsid w:val="49E6F7AF"/>
    <w:rsid w:val="4CA92A9E"/>
    <w:rsid w:val="505621F1"/>
    <w:rsid w:val="577C1BFE"/>
    <w:rsid w:val="586F443C"/>
    <w:rsid w:val="59210F58"/>
    <w:rsid w:val="5CAA5906"/>
    <w:rsid w:val="646D0119"/>
    <w:rsid w:val="67B2151F"/>
    <w:rsid w:val="68DB11FE"/>
    <w:rsid w:val="6A275B71"/>
    <w:rsid w:val="6C394B07"/>
    <w:rsid w:val="6D71420D"/>
    <w:rsid w:val="6D860C2F"/>
    <w:rsid w:val="73085187"/>
    <w:rsid w:val="73D062CB"/>
    <w:rsid w:val="73ED4BC1"/>
    <w:rsid w:val="75371E17"/>
    <w:rsid w:val="7568727A"/>
    <w:rsid w:val="76411C98"/>
    <w:rsid w:val="7649061F"/>
    <w:rsid w:val="76B35DCB"/>
    <w:rsid w:val="7F7F7414"/>
    <w:rsid w:val="7FD06EFD"/>
    <w:rsid w:val="7FD81B0D"/>
    <w:rsid w:val="7FEF134E"/>
    <w:rsid w:val="7FF24D8B"/>
    <w:rsid w:val="DFC532C9"/>
    <w:rsid w:val="DFF76469"/>
    <w:rsid w:val="E7FF9006"/>
    <w:rsid w:val="FD7AFE2F"/>
    <w:rsid w:val="FFFF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23"/>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style>
  <w:style w:type="character" w:styleId="12">
    <w:name w:val="Hyperlink"/>
    <w:basedOn w:val="9"/>
    <w:unhideWhenUsed/>
    <w:qFormat/>
    <w:uiPriority w:val="99"/>
    <w:rPr>
      <w:color w:val="0000FF"/>
      <w:u w:val="single"/>
    </w:rPr>
  </w:style>
  <w:style w:type="character" w:customStyle="1" w:styleId="13">
    <w:name w:val="apple-converted-space"/>
    <w:basedOn w:val="9"/>
    <w:qFormat/>
    <w:uiPriority w:val="0"/>
  </w:style>
  <w:style w:type="paragraph" w:customStyle="1" w:styleId="14">
    <w:name w:val="HTML Top of Form"/>
    <w:basedOn w:val="1"/>
    <w:next w:val="1"/>
    <w:link w:val="15"/>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5">
    <w:name w:val="z-窗体顶端 Char"/>
    <w:basedOn w:val="9"/>
    <w:link w:val="14"/>
    <w:semiHidden/>
    <w:qFormat/>
    <w:uiPriority w:val="99"/>
    <w:rPr>
      <w:rFonts w:ascii="Arial" w:hAnsi="Arial" w:eastAsia="宋体" w:cs="Arial"/>
      <w:vanish/>
      <w:kern w:val="0"/>
      <w:sz w:val="16"/>
      <w:szCs w:val="16"/>
    </w:rPr>
  </w:style>
  <w:style w:type="paragraph" w:customStyle="1" w:styleId="16">
    <w:name w:val="HTML Bottom of Form"/>
    <w:basedOn w:val="1"/>
    <w:next w:val="1"/>
    <w:link w:val="17"/>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7">
    <w:name w:val="z-窗体底端 Char"/>
    <w:basedOn w:val="9"/>
    <w:link w:val="16"/>
    <w:semiHidden/>
    <w:qFormat/>
    <w:uiPriority w:val="99"/>
    <w:rPr>
      <w:rFonts w:ascii="Arial" w:hAnsi="Arial" w:eastAsia="宋体" w:cs="Arial"/>
      <w:vanish/>
      <w:kern w:val="0"/>
      <w:sz w:val="16"/>
      <w:szCs w:val="16"/>
    </w:rPr>
  </w:style>
  <w:style w:type="character" w:customStyle="1" w:styleId="18">
    <w:name w:val="da"/>
    <w:basedOn w:val="9"/>
    <w:qFormat/>
    <w:uiPriority w:val="0"/>
  </w:style>
  <w:style w:type="character" w:customStyle="1" w:styleId="19">
    <w:name w:val="zhong"/>
    <w:basedOn w:val="9"/>
    <w:qFormat/>
    <w:uiPriority w:val="0"/>
  </w:style>
  <w:style w:type="character" w:customStyle="1" w:styleId="20">
    <w:name w:val="xiao"/>
    <w:basedOn w:val="9"/>
    <w:qFormat/>
    <w:uiPriority w:val="0"/>
  </w:style>
  <w:style w:type="character" w:customStyle="1" w:styleId="21">
    <w:name w:val="页眉 Char"/>
    <w:basedOn w:val="9"/>
    <w:link w:val="5"/>
    <w:qFormat/>
    <w:uiPriority w:val="99"/>
    <w:rPr>
      <w:sz w:val="18"/>
      <w:szCs w:val="18"/>
    </w:rPr>
  </w:style>
  <w:style w:type="character" w:customStyle="1" w:styleId="22">
    <w:name w:val="页脚 Char"/>
    <w:basedOn w:val="9"/>
    <w:link w:val="4"/>
    <w:qFormat/>
    <w:uiPriority w:val="99"/>
    <w:rPr>
      <w:sz w:val="18"/>
      <w:szCs w:val="18"/>
    </w:rPr>
  </w:style>
  <w:style w:type="character" w:customStyle="1" w:styleId="23">
    <w:name w:val="批注框文本 Char"/>
    <w:basedOn w:val="9"/>
    <w:link w:val="3"/>
    <w:semiHidden/>
    <w:qFormat/>
    <w:uiPriority w:val="99"/>
    <w:rPr>
      <w:sz w:val="18"/>
      <w:szCs w:val="18"/>
    </w:rPr>
  </w:style>
  <w:style w:type="character" w:customStyle="1" w:styleId="24">
    <w:name w:val="hover38"/>
    <w:basedOn w:val="9"/>
    <w:qFormat/>
    <w:uiPriority w:val="0"/>
    <w:rPr>
      <w:color w:val="3094E2"/>
    </w:rPr>
  </w:style>
  <w:style w:type="character" w:customStyle="1" w:styleId="25">
    <w:name w:val="hover39"/>
    <w:basedOn w:val="9"/>
    <w:qFormat/>
    <w:uiPriority w:val="0"/>
  </w:style>
  <w:style w:type="character" w:customStyle="1" w:styleId="26">
    <w:name w:val="hover40"/>
    <w:basedOn w:val="9"/>
    <w:qFormat/>
    <w:uiPriority w:val="0"/>
    <w:rPr>
      <w:shd w:val="clear" w:fill="1776CC"/>
    </w:rPr>
  </w:style>
  <w:style w:type="character" w:customStyle="1" w:styleId="27">
    <w:name w:val="hover41"/>
    <w:basedOn w:val="9"/>
    <w:qFormat/>
    <w:uiPriority w:val="0"/>
  </w:style>
  <w:style w:type="character" w:customStyle="1" w:styleId="28">
    <w:name w:val="hover42"/>
    <w:basedOn w:val="9"/>
    <w:qFormat/>
    <w:uiPriority w:val="0"/>
  </w:style>
  <w:style w:type="character" w:customStyle="1" w:styleId="29">
    <w:name w:val="hover43"/>
    <w:basedOn w:val="9"/>
    <w:qFormat/>
    <w:uiPriority w:val="0"/>
    <w:rPr>
      <w:color w:val="3094E2"/>
    </w:rPr>
  </w:style>
  <w:style w:type="character" w:customStyle="1" w:styleId="30">
    <w:name w:val="hover44"/>
    <w:basedOn w:val="9"/>
    <w:qFormat/>
    <w:uiPriority w:val="0"/>
    <w:rPr>
      <w:shd w:val="clear" w:fill="CBE2FF"/>
    </w:rPr>
  </w:style>
  <w:style w:type="character" w:customStyle="1" w:styleId="31">
    <w:name w:val="first-child2"/>
    <w:basedOn w:val="9"/>
    <w:qFormat/>
    <w:uiPriority w:val="0"/>
  </w:style>
  <w:style w:type="character" w:customStyle="1" w:styleId="32">
    <w:name w:val="first-child3"/>
    <w:basedOn w:val="9"/>
    <w:qFormat/>
    <w:uiPriority w:val="0"/>
  </w:style>
  <w:style w:type="character" w:customStyle="1" w:styleId="33">
    <w:name w:val="nth-child(2)"/>
    <w:basedOn w:val="9"/>
    <w:qFormat/>
    <w:uiPriority w:val="0"/>
  </w:style>
  <w:style w:type="character" w:customStyle="1" w:styleId="34">
    <w:name w:val="before2"/>
    <w:basedOn w:val="9"/>
    <w:qFormat/>
    <w:uiPriority w:val="0"/>
  </w:style>
  <w:style w:type="character" w:customStyle="1" w:styleId="35">
    <w:name w:val="loap_active6"/>
    <w:basedOn w:val="9"/>
    <w:qFormat/>
    <w:uiPriority w:val="0"/>
    <w:rPr>
      <w:color w:val="3094E2"/>
    </w:rPr>
  </w:style>
  <w:style w:type="character" w:customStyle="1" w:styleId="36">
    <w:name w:val="loap_active7"/>
    <w:basedOn w:val="9"/>
    <w:qFormat/>
    <w:uiPriority w:val="0"/>
    <w:rPr>
      <w:color w:val="3094E2"/>
      <w:shd w:val="clear" w:fill="FFFFFF"/>
    </w:rPr>
  </w:style>
  <w:style w:type="character" w:customStyle="1" w:styleId="37">
    <w:name w:val="time_frame"/>
    <w:basedOn w:val="9"/>
    <w:qFormat/>
    <w:uiPriority w:val="0"/>
  </w:style>
  <w:style w:type="character" w:customStyle="1" w:styleId="38">
    <w:name w:val="after2"/>
    <w:basedOn w:val="9"/>
    <w:qFormat/>
    <w:uiPriority w:val="0"/>
  </w:style>
  <w:style w:type="character" w:customStyle="1" w:styleId="39">
    <w:name w:val="after3"/>
    <w:basedOn w:val="9"/>
    <w:qFormat/>
    <w:uiPriority w:val="0"/>
  </w:style>
  <w:style w:type="character" w:customStyle="1" w:styleId="40">
    <w:name w:val="lc2_menubar_label"/>
    <w:basedOn w:val="9"/>
    <w:qFormat/>
    <w:uiPriority w:val="0"/>
  </w:style>
  <w:style w:type="character" w:customStyle="1" w:styleId="41">
    <w:name w:val="yttz_hylx"/>
    <w:basedOn w:val="9"/>
    <w:qFormat/>
    <w:uiPriority w:val="0"/>
  </w:style>
  <w:style w:type="character" w:customStyle="1" w:styleId="42">
    <w:name w:val="oatab_active2"/>
    <w:basedOn w:val="9"/>
    <w:qFormat/>
    <w:uiPriority w:val="0"/>
  </w:style>
  <w:style w:type="character" w:customStyle="1" w:styleId="43">
    <w:name w:val="oatab_active3"/>
    <w:basedOn w:val="9"/>
    <w:qFormat/>
    <w:uiPriority w:val="0"/>
    <w:rPr>
      <w:color w:val="FFFFFF"/>
    </w:rPr>
  </w:style>
  <w:style w:type="character" w:customStyle="1" w:styleId="44">
    <w:name w:val="oatab_active4"/>
    <w:basedOn w:val="9"/>
    <w:qFormat/>
    <w:uiPriority w:val="0"/>
    <w:rPr>
      <w:color w:val="0079DF"/>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4013</Words>
  <Characters>4304</Characters>
  <Lines>27</Lines>
  <Paragraphs>7</Paragraphs>
  <TotalTime>4</TotalTime>
  <ScaleCrop>false</ScaleCrop>
  <LinksUpToDate>false</LinksUpToDate>
  <CharactersWithSpaces>4363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2018-05-21T06:36:00Z</dcterms:created>
  <dc:creator>Administrator</dc:creator>
  <cp:lastModifiedBy>A姬艳丽</cp:lastModifiedBy>
  <dcterms:modified xsi:type="dcterms:W3CDTF">2022-06-28T10:24:37Z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435713F31C8344FEBBC2E98361D6AFF6</vt:lpwstr>
  </property>
</Properties>
</file>